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1" w:type="dxa"/>
        <w:tblInd w:w="-1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99"/>
        <w:gridCol w:w="8257"/>
        <w:gridCol w:w="976"/>
        <w:gridCol w:w="14"/>
        <w:gridCol w:w="592"/>
        <w:gridCol w:w="1023"/>
      </w:tblGrid>
      <w:tr w:rsidR="0093379E" w:rsidTr="00F26031">
        <w:trPr>
          <w:trHeight w:val="450"/>
        </w:trPr>
        <w:tc>
          <w:tcPr>
            <w:tcW w:w="112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00000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  <w:t>Pactuação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  <w:t xml:space="preserve"> de Diretrizes, Objetivos, Metas e Indicadores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  <w:t>2017</w:t>
            </w:r>
            <w:proofErr w:type="gramEnd"/>
          </w:p>
        </w:tc>
      </w:tr>
      <w:tr w:rsidR="0093379E" w:rsidTr="00F26031">
        <w:trPr>
          <w:trHeight w:val="452"/>
        </w:trPr>
        <w:tc>
          <w:tcPr>
            <w:tcW w:w="8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Município: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PIAUÍ</w:t>
            </w:r>
          </w:p>
        </w:tc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93379E" w:rsidTr="00F26031">
        <w:trPr>
          <w:trHeight w:val="238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Meta </w:t>
            </w: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93379E" w:rsidTr="00F26031">
        <w:trPr>
          <w:trHeight w:val="400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Mortalidade prematura: a)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 município e região com menos de 100 habitantes: Número de óbitos prematuros (de 30 a 69 anos) pelo conjunto das quatro principais doenças crônicas não transmissíveis (doenças do aparelho circulatório, câncer, diabetes e doença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 respiratórias crônicas. b)Para município e região com 100 mil ou mais habitantes, estados e Distrito Federal: Taxa de mortalidade prematura (de 30 a 69 anos) pelo conjunto das quatro principais doenças crônicas não transmissíveis (doenças do aparelho cir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culatório, câncer, diabetes e doenças respiratórias crônicas).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(% Teresina, Parnaíba e Piauí). Demais municípios nº absoluto</w:t>
            </w:r>
          </w:p>
        </w:tc>
      </w:tr>
      <w:tr w:rsidR="0093379E" w:rsidTr="00F26031">
        <w:trPr>
          <w:trHeight w:val="4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ÓBITOS DE MULHERES EM IDADE FÉRTIL (MIF) INVESTIGADOS (&gt;)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261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registro de óbitos com causa básica definida 2016 de residentes.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93379E" w:rsidTr="00F26031">
        <w:trPr>
          <w:trHeight w:val="400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vacinas selecionadas do Calendário Nacional de Vacinação para crianças menores de dois anos de idade - Pentavalente (3ª dose), Pneumocócica 10-valente (2ª dose), Poliomielite (3ª dose) e Tríplice viral (1ª dose) - com cobertura vacinal preconi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zada.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93379E" w:rsidTr="00F26031">
        <w:trPr>
          <w:trHeight w:val="400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casos de doenças de notificação compulsória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imediata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dnci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 encerradas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em até 60 dias após notificação 2016.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93379E" w:rsidTr="00F26031">
        <w:trPr>
          <w:trHeight w:val="34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cura dos casos novos de hanseníase diagnosticados nos anos das coortes.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330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Nº de casos autóctones de malária.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absoluto</w:t>
            </w:r>
          </w:p>
        </w:tc>
      </w:tr>
      <w:tr w:rsidR="0093379E" w:rsidTr="00F26031">
        <w:trPr>
          <w:trHeight w:val="28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Nº de casos novos de sífilis congênita em menores de um ano de idade.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absoluto</w:t>
            </w:r>
          </w:p>
        </w:tc>
      </w:tr>
      <w:tr w:rsidR="0093379E" w:rsidTr="00F26031">
        <w:trPr>
          <w:trHeight w:val="400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 casos novos de AIDS em menores de 5 anos.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N° absoluto</w:t>
            </w:r>
          </w:p>
        </w:tc>
      </w:tr>
      <w:tr w:rsidR="0093379E" w:rsidTr="00F26031">
        <w:trPr>
          <w:trHeight w:val="455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Proporção de análises realizadas em amostras de água para consumo humano quanto aos parâmetros coliformes totais, cloro residual livre e turbidez.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501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RAZÃO DE EXAMES CITOPATOLÓGICOS DO COLO DO ÚTERO EM MULHERES DE 25 A 64 ANOS E A POPULAÇÃO DA MESMA FAIXA ETÁRIA. (&gt;)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93379E" w:rsidTr="00F26031">
        <w:trPr>
          <w:trHeight w:val="679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RAZÃO DE EXAMES DE MAMOGRAFIA DE RASTREAMENTO REALIZADOS EM MULHERES DE 50 A 69 ANOS E POPULAÇÃO DA MESMA FAIXA ETÁRIA. (&gt;)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93379E" w:rsidTr="00F26031">
        <w:trPr>
          <w:trHeight w:val="341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PARTO NORMAL. (&gt;)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12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gravidez na adolescência entre as faixas etárias de 10 a 19 anos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54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Taxa de Mortalidade Infantil.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Ób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/1000NV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p/,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Teresina, Parnaíba e Piauí). Demais municípios nº absoluto</w:t>
            </w:r>
          </w:p>
        </w:tc>
      </w:tr>
      <w:tr w:rsidR="0093379E" w:rsidTr="00F26031">
        <w:trPr>
          <w:trHeight w:val="382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OBITOS MATERNOS EM DETERMINADO PERÍODO E LOCAL DE RESIDÊNCIA. (&lt;)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Absoluto</w:t>
            </w:r>
          </w:p>
        </w:tc>
      </w:tr>
      <w:tr w:rsidR="0093379E" w:rsidTr="00F26031">
        <w:trPr>
          <w:trHeight w:val="3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Cobertura populacional estimada pelas equipes de atenção básica.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22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Cobertura de acompanhamento das condicionalidades de Saúde do Programa Bolsa Família (PBF). 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14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Cobertura populacional estimada de saúde bucal na atenção básica.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Percentual de municípios que realizam no mínimo seis grupos de ações de Vigilância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Sanitária consideradas necessárias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todos os municípios no ano 2016.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Ações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matriciamento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sistemático realizadas por CAPS com equipes de Atenção Básica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FONTE: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Código do procedimento: 03.01.08.030-5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Matriciamento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Equipes da Atenção Básica registrado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 BPAC do Sistema de Informação Ambulatorial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S.I.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A-SUS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Número de ciclos que atingiram mínimo de 80% de cobertura de imóveis visitados para controle vetorial da dengue em 2016.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93379E" w:rsidTr="00F26031">
        <w:trPr>
          <w:trHeight w:val="407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8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Proporção de preenchimento do campo “ocupação” nas notificações de agravos relacionados ao trabalho. 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933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0" w:type="dxa"/>
            </w:tcMar>
            <w:vAlign w:val="center"/>
          </w:tcPr>
          <w:p w:rsidR="0093379E" w:rsidRDefault="00F26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</w:tbl>
    <w:p w:rsidR="0093379E" w:rsidRDefault="0093379E">
      <w:pPr>
        <w:spacing w:after="0" w:line="240" w:lineRule="auto"/>
        <w:jc w:val="center"/>
      </w:pPr>
    </w:p>
    <w:sectPr w:rsidR="0093379E" w:rsidSect="0093379E">
      <w:pgSz w:w="11906" w:h="16838"/>
      <w:pgMar w:top="426" w:right="1701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79E"/>
    <w:rsid w:val="0093379E"/>
    <w:rsid w:val="00F2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21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337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3379E"/>
    <w:pPr>
      <w:spacing w:after="140" w:line="288" w:lineRule="auto"/>
    </w:pPr>
  </w:style>
  <w:style w:type="paragraph" w:styleId="Lista">
    <w:name w:val="List"/>
    <w:basedOn w:val="Corpodetexto"/>
    <w:rsid w:val="0093379E"/>
    <w:rPr>
      <w:rFonts w:cs="Arial"/>
    </w:rPr>
  </w:style>
  <w:style w:type="paragraph" w:styleId="Legenda">
    <w:name w:val="caption"/>
    <w:basedOn w:val="Normal"/>
    <w:rsid w:val="009337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379E"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rsid w:val="0093379E"/>
  </w:style>
  <w:style w:type="paragraph" w:customStyle="1" w:styleId="Ttulodetabela">
    <w:name w:val="Título de tabela"/>
    <w:basedOn w:val="Contedodatabela"/>
    <w:qFormat/>
    <w:rsid w:val="009337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537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Raimundo Falcao</cp:lastModifiedBy>
  <cp:revision>12</cp:revision>
  <dcterms:created xsi:type="dcterms:W3CDTF">2017-03-06T15:16:00Z</dcterms:created>
  <dcterms:modified xsi:type="dcterms:W3CDTF">2017-03-10T13:43:00Z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