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6069"/>
        <w:gridCol w:w="360"/>
      </w:tblGrid>
      <w:tr w:rsidR="008B327A" w:rsidRPr="008B327A" w:rsidTr="008B327A">
        <w:trPr>
          <w:tblCellSpacing w:w="0" w:type="dxa"/>
        </w:trPr>
        <w:tc>
          <w:tcPr>
            <w:tcW w:w="50" w:type="pct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47750" cy="857250"/>
                  <wp:effectExtent l="0" t="0" r="0" b="0"/>
                  <wp:docPr id="2" name="Imagem 2" descr="http://www.anvisa.gov.br/sistec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visa.gov.br/sistec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Agência Nacional de Vigilância Sanitária</w:t>
            </w: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  <w:t>Núcleo de Gestão do Sistema Nacional de Notificação e Investigação em Vigilância Sanitária </w:t>
            </w: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br/>
              <w:t xml:space="preserve">Unidade de </w:t>
            </w:r>
            <w:proofErr w:type="spellStart"/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Tecnovigilância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m 1" descr="http://www.anvisa.gov.br/sistec/images/Buttons/imprim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visa.gov.br/sistec/images/Buttons/imprim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Alertas de </w:t>
            </w:r>
            <w:proofErr w:type="spellStart"/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Tecnovigilância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pict>
                <v:rect id="_x0000_i1025" style="width:0;height:1.5pt" o:hralign="center" o:hrstd="t" o:hrnoshade="t" o:hr="t" fillcolor="#009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B327A" w:rsidRPr="008B327A" w:rsidRDefault="008B327A" w:rsidP="008B3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7"/>
        <w:gridCol w:w="6509"/>
      </w:tblGrid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Alerta 1242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1000" w:type="pct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Código da Classe: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11111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1000" w:type="pct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Descrição da Classe: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MEIOS DE CULTURA SELETIVOS PARA DETERMINADOS GRUPOS DE MICROORGANISMOS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FAMILIA DE MEIOS SELETIVOS PARA DETERMINADOS GRUPOS DE MICROORGANISMOS BIOMERIEUX - CHOCOLATE POLYVITEX ÁGAR - Registro 10158120601 - Lote 1212107435.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Problema: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Contaminação.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Interrupção imediata da utilização do produto. Segregação e destruição, de acordo com os procedimentos internos e orientados pelo fornecedor.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Esclarecimento: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De acordo com a empresa, não há risco de resultados falso-positivos, uma vez que a contaminação é aparente e pode ser detectada antes de seu uso. A </w:t>
            </w:r>
            <w:proofErr w:type="gramStart"/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Anvisa</w:t>
            </w:r>
            <w:proofErr w:type="gramEnd"/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acompanha esta Ação de Campo.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Fonte: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Cumprimento da Resolução RDC 23/2012.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 Ocorrência: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11/04/2013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Fabricante: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BIOMERIEUX BRASIL S/A - Rio de Janeiro/RJ.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327A" w:rsidRPr="008B327A" w:rsidRDefault="008B327A" w:rsidP="008B327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8B327A" w:rsidRPr="008B327A" w:rsidTr="008B3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Lista de Distribuição:</w:t>
            </w:r>
          </w:p>
        </w:tc>
        <w:tc>
          <w:tcPr>
            <w:tcW w:w="0" w:type="auto"/>
            <w:vAlign w:val="center"/>
            <w:hideMark/>
          </w:tcPr>
          <w:p w:rsidR="008B327A" w:rsidRPr="008B327A" w:rsidRDefault="008B327A" w:rsidP="008B32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GERENCIA DE RISCO, CENTRAL DE MATERIAIS, LABORATORIO CLINICO, </w:t>
            </w:r>
            <w:proofErr w:type="gramStart"/>
            <w:r w:rsidRPr="008B327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FARMACIA</w:t>
            </w:r>
            <w:proofErr w:type="gramEnd"/>
          </w:p>
        </w:tc>
      </w:tr>
    </w:tbl>
    <w:p w:rsidR="00B21BED" w:rsidRDefault="00B21BED">
      <w:bookmarkStart w:id="0" w:name="_GoBack"/>
      <w:bookmarkEnd w:id="0"/>
    </w:p>
    <w:sectPr w:rsidR="00B21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7A"/>
    <w:rsid w:val="008B327A"/>
    <w:rsid w:val="00B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327A"/>
  </w:style>
  <w:style w:type="paragraph" w:styleId="NormalWeb">
    <w:name w:val="Normal (Web)"/>
    <w:basedOn w:val="Normal"/>
    <w:uiPriority w:val="99"/>
    <w:unhideWhenUsed/>
    <w:rsid w:val="008B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B327A"/>
  </w:style>
  <w:style w:type="paragraph" w:styleId="NormalWeb">
    <w:name w:val="Normal (Web)"/>
    <w:basedOn w:val="Normal"/>
    <w:uiPriority w:val="99"/>
    <w:unhideWhenUsed/>
    <w:rsid w:val="008B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1</cp:revision>
  <dcterms:created xsi:type="dcterms:W3CDTF">2013-05-24T11:25:00Z</dcterms:created>
  <dcterms:modified xsi:type="dcterms:W3CDTF">2013-05-24T11:27:00Z</dcterms:modified>
</cp:coreProperties>
</file>