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C2" w:rsidRPr="006A52C2" w:rsidRDefault="006A52C2" w:rsidP="006A52C2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172938"/>
          <w:sz w:val="23"/>
          <w:szCs w:val="23"/>
          <w:lang w:eastAsia="pt-BR"/>
        </w:rPr>
      </w:pPr>
      <w:r w:rsidRPr="006A52C2">
        <w:rPr>
          <w:rFonts w:ascii="Arial" w:eastAsia="Times New Roman" w:hAnsi="Arial" w:cs="Arial"/>
          <w:b/>
          <w:bCs/>
          <w:color w:val="172938"/>
          <w:sz w:val="23"/>
          <w:szCs w:val="23"/>
          <w:lang w:eastAsia="pt-BR"/>
        </w:rPr>
        <w:t>Área: </w:t>
      </w:r>
      <w:r w:rsidRPr="006A52C2">
        <w:rPr>
          <w:rFonts w:ascii="Arial" w:eastAsia="Times New Roman" w:hAnsi="Arial" w:cs="Arial"/>
          <w:color w:val="172938"/>
          <w:sz w:val="23"/>
          <w:szCs w:val="23"/>
          <w:lang w:eastAsia="pt-BR"/>
        </w:rPr>
        <w:t>GGMON</w:t>
      </w:r>
    </w:p>
    <w:p w:rsidR="006A52C2" w:rsidRPr="006A52C2" w:rsidRDefault="006A52C2" w:rsidP="006A52C2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172938"/>
          <w:sz w:val="23"/>
          <w:szCs w:val="23"/>
          <w:lang w:eastAsia="pt-BR"/>
        </w:rPr>
      </w:pPr>
      <w:r w:rsidRPr="006A52C2">
        <w:rPr>
          <w:rFonts w:ascii="Arial" w:eastAsia="Times New Roman" w:hAnsi="Arial" w:cs="Arial"/>
          <w:b/>
          <w:bCs/>
          <w:color w:val="172938"/>
          <w:sz w:val="23"/>
          <w:szCs w:val="23"/>
          <w:lang w:eastAsia="pt-BR"/>
        </w:rPr>
        <w:t>Número: </w:t>
      </w:r>
      <w:r w:rsidRPr="006A52C2">
        <w:rPr>
          <w:rFonts w:ascii="Arial" w:eastAsia="Times New Roman" w:hAnsi="Arial" w:cs="Arial"/>
          <w:color w:val="172938"/>
          <w:sz w:val="23"/>
          <w:szCs w:val="23"/>
          <w:lang w:eastAsia="pt-BR"/>
        </w:rPr>
        <w:t>2043</w:t>
      </w:r>
    </w:p>
    <w:p w:rsidR="006A52C2" w:rsidRPr="006A52C2" w:rsidRDefault="006A52C2" w:rsidP="006A52C2">
      <w:pPr>
        <w:shd w:val="clear" w:color="auto" w:fill="FFFFFF"/>
        <w:spacing w:line="240" w:lineRule="auto"/>
        <w:rPr>
          <w:rFonts w:ascii="Arial" w:eastAsia="Times New Roman" w:hAnsi="Arial" w:cs="Arial"/>
          <w:color w:val="172938"/>
          <w:sz w:val="23"/>
          <w:szCs w:val="23"/>
          <w:lang w:eastAsia="pt-BR"/>
        </w:rPr>
      </w:pPr>
      <w:r w:rsidRPr="006A52C2">
        <w:rPr>
          <w:rFonts w:ascii="Arial" w:eastAsia="Times New Roman" w:hAnsi="Arial" w:cs="Arial"/>
          <w:b/>
          <w:bCs/>
          <w:color w:val="172938"/>
          <w:sz w:val="23"/>
          <w:szCs w:val="23"/>
          <w:lang w:eastAsia="pt-BR"/>
        </w:rPr>
        <w:t>Ano: </w:t>
      </w:r>
      <w:r w:rsidRPr="006A52C2">
        <w:rPr>
          <w:rFonts w:ascii="Arial" w:eastAsia="Times New Roman" w:hAnsi="Arial" w:cs="Arial"/>
          <w:color w:val="172938"/>
          <w:sz w:val="23"/>
          <w:szCs w:val="23"/>
          <w:lang w:eastAsia="pt-BR"/>
        </w:rPr>
        <w:t>2017</w:t>
      </w:r>
    </w:p>
    <w:p w:rsidR="006A52C2" w:rsidRPr="006A52C2" w:rsidRDefault="006A52C2" w:rsidP="006A52C2">
      <w:pPr>
        <w:shd w:val="clear" w:color="auto" w:fill="FFFFFF"/>
        <w:spacing w:after="150" w:line="300" w:lineRule="atLeast"/>
        <w:outlineLvl w:val="3"/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</w:pPr>
      <w:r w:rsidRPr="006A52C2"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  <w:t>Resumo:</w:t>
      </w:r>
    </w:p>
    <w:p w:rsidR="006A52C2" w:rsidRPr="006A52C2" w:rsidRDefault="006A52C2" w:rsidP="006A52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6A52C2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Alerta 2043 (</w:t>
      </w:r>
      <w:proofErr w:type="spellStart"/>
      <w:r w:rsidRPr="006A52C2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Tecnovigilância</w:t>
      </w:r>
      <w:proofErr w:type="spellEnd"/>
      <w:r w:rsidRPr="006A52C2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) – LM Farma - </w:t>
      </w:r>
      <w:proofErr w:type="spellStart"/>
      <w:r w:rsidRPr="006A52C2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Curatec</w:t>
      </w:r>
      <w:proofErr w:type="spellEnd"/>
      <w:r w:rsidRPr="006A52C2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Curativo de Carvão Ativado com Prata – Suspeita de desvio de qualidade a possível falha na embalagem primária.</w:t>
      </w:r>
    </w:p>
    <w:p w:rsidR="006A52C2" w:rsidRPr="006A52C2" w:rsidRDefault="006A52C2" w:rsidP="006A5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</w:p>
    <w:p w:rsidR="006A52C2" w:rsidRPr="006A52C2" w:rsidRDefault="006A52C2" w:rsidP="006A52C2">
      <w:pPr>
        <w:shd w:val="clear" w:color="auto" w:fill="FFFFFF"/>
        <w:spacing w:before="150" w:after="150" w:line="300" w:lineRule="atLeast"/>
        <w:outlineLvl w:val="3"/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</w:pPr>
      <w:r w:rsidRPr="006A52C2"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  <w:t>Identificação do produto ou caso:</w:t>
      </w:r>
    </w:p>
    <w:p w:rsidR="006A52C2" w:rsidRPr="006A52C2" w:rsidRDefault="006A52C2" w:rsidP="006A52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6A52C2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Nome comercial: </w:t>
      </w:r>
      <w:proofErr w:type="spellStart"/>
      <w:r w:rsidRPr="006A52C2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Curatec</w:t>
      </w:r>
      <w:proofErr w:type="spellEnd"/>
      <w:r w:rsidRPr="006A52C2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Curativo de Carvão Ativado com Prata Nome técnico: Curativo Número de registro ANVISA: </w:t>
      </w:r>
      <w:proofErr w:type="gramStart"/>
      <w:r w:rsidRPr="006A52C2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80246910005 Classe</w:t>
      </w:r>
      <w:proofErr w:type="gramEnd"/>
      <w:r w:rsidRPr="006A52C2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de risco: III Modelo afetado: 6,5 cm x 9,5 cm e 10,5 cm x 10,5 cm Números de série afetados: 16081806 / 16081807 / 16090909</w:t>
      </w:r>
    </w:p>
    <w:p w:rsidR="006A52C2" w:rsidRPr="006A52C2" w:rsidRDefault="006A52C2" w:rsidP="006A5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</w:p>
    <w:p w:rsidR="006A52C2" w:rsidRPr="006A52C2" w:rsidRDefault="006A52C2" w:rsidP="006A52C2">
      <w:pPr>
        <w:shd w:val="clear" w:color="auto" w:fill="FFFFFF"/>
        <w:spacing w:before="150" w:after="150" w:line="300" w:lineRule="atLeast"/>
        <w:outlineLvl w:val="3"/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</w:pPr>
      <w:r w:rsidRPr="006A52C2"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  <w:t>Problema:</w:t>
      </w:r>
    </w:p>
    <w:p w:rsidR="006A52C2" w:rsidRPr="006A52C2" w:rsidRDefault="006A52C2" w:rsidP="006A52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6A52C2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A empresa LM Farma, durante o processo de validação de um novo tamanho de envelope, através do teste corante azul de metileno realizado exclusivamente em validações, evidenciou a formação de </w:t>
      </w:r>
      <w:proofErr w:type="spellStart"/>
      <w:r w:rsidRPr="006A52C2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microcanais</w:t>
      </w:r>
      <w:proofErr w:type="spellEnd"/>
      <w:r w:rsidRPr="006A52C2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no ponto de intersecção entre a selagem do fornecedor (</w:t>
      </w:r>
      <w:proofErr w:type="spellStart"/>
      <w:r w:rsidRPr="006A52C2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Amcor</w:t>
      </w:r>
      <w:proofErr w:type="spellEnd"/>
      <w:r w:rsidRPr="006A52C2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) e a selagem realizada internamente pela empresa LM Farma.</w:t>
      </w:r>
    </w:p>
    <w:p w:rsidR="006A52C2" w:rsidRPr="006A52C2" w:rsidRDefault="006A52C2" w:rsidP="006A5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6A52C2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Foi aberta a Não conformidade número 155/16, e, durante a investigação dos lotes, foi detectado que o material de embalagem em utilização sofre interferência por pequenas variações de processamento em  cada equipamento de selagem (tempo, pressão, temperatura, borracha e formato da barra de selagem, alinhamento da batida entre os mordentes, gramatura e tipo do material usado), até então categorizado em mesmo grupo.</w:t>
      </w:r>
    </w:p>
    <w:p w:rsidR="006A52C2" w:rsidRPr="006A52C2" w:rsidRDefault="006A52C2" w:rsidP="006A5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</w:p>
    <w:p w:rsidR="006A52C2" w:rsidRPr="006A52C2" w:rsidRDefault="006A52C2" w:rsidP="006A52C2">
      <w:pPr>
        <w:shd w:val="clear" w:color="auto" w:fill="FFFFFF"/>
        <w:spacing w:before="150" w:after="150" w:line="300" w:lineRule="atLeast"/>
        <w:outlineLvl w:val="3"/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</w:pPr>
      <w:r w:rsidRPr="006A52C2"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  <w:t>Ação:</w:t>
      </w:r>
    </w:p>
    <w:p w:rsidR="006A52C2" w:rsidRPr="006A52C2" w:rsidRDefault="006A52C2" w:rsidP="006A52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6A52C2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Ação de Campo Código</w:t>
      </w:r>
      <w:r w:rsidRPr="006A52C2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 AC003/16 desencadeada </w:t>
      </w:r>
      <w:proofErr w:type="gramStart"/>
      <w:r w:rsidRPr="006A52C2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sob responsabilidade</w:t>
      </w:r>
      <w:proofErr w:type="gramEnd"/>
      <w:r w:rsidRPr="006A52C2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da empresa </w:t>
      </w:r>
      <w:r w:rsidRPr="006A52C2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LM Farma</w:t>
      </w:r>
      <w:r w:rsidRPr="006A52C2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.  </w:t>
      </w:r>
    </w:p>
    <w:p w:rsidR="006A52C2" w:rsidRPr="006A52C2" w:rsidRDefault="006A52C2" w:rsidP="006A52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6A52C2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Classificação do risco:</w:t>
      </w:r>
      <w:r w:rsidRPr="006A52C2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Classe III</w:t>
      </w:r>
    </w:p>
    <w:p w:rsidR="006A52C2" w:rsidRPr="006A52C2" w:rsidRDefault="006A52C2" w:rsidP="006A52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6A52C2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Classificação da ação de campo:</w:t>
      </w:r>
      <w:r w:rsidRPr="006A52C2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 Recolhimento, Devolução para o </w:t>
      </w:r>
      <w:proofErr w:type="gramStart"/>
      <w:r w:rsidRPr="006A52C2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fabricante</w:t>
      </w:r>
      <w:proofErr w:type="gramEnd"/>
    </w:p>
    <w:p w:rsidR="006A52C2" w:rsidRPr="006A52C2" w:rsidRDefault="006A52C2" w:rsidP="006A52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6A52C2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</w:p>
    <w:p w:rsidR="006A52C2" w:rsidRPr="006A52C2" w:rsidRDefault="006A52C2" w:rsidP="006A52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6A52C2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Recomendações aos usuários e pacientes:</w:t>
      </w:r>
    </w:p>
    <w:p w:rsidR="006A52C2" w:rsidRPr="006A52C2" w:rsidRDefault="006A52C2" w:rsidP="006A52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6A52C2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Riscos para o paciente:</w:t>
      </w:r>
    </w:p>
    <w:p w:rsidR="006A52C2" w:rsidRPr="006A52C2" w:rsidRDefault="006A52C2" w:rsidP="006A52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6A52C2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A selagem do envelope forma uma barreira para preservar a esterilidade do produto. O uso de um produto não estéril poderia expor pacientes mais debilitados ao risco de uma infecção.</w:t>
      </w:r>
    </w:p>
    <w:p w:rsidR="006A52C2" w:rsidRPr="006A52C2" w:rsidRDefault="006A52C2" w:rsidP="006A52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6A52C2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Medidas necessárias:</w:t>
      </w:r>
    </w:p>
    <w:p w:rsidR="006A52C2" w:rsidRPr="006A52C2" w:rsidRDefault="006A52C2" w:rsidP="006A52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6A52C2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Não utilizar o produto com suspeita de desvio de qualidade;</w:t>
      </w:r>
    </w:p>
    <w:p w:rsidR="006A52C2" w:rsidRPr="006A52C2" w:rsidRDefault="006A52C2" w:rsidP="006A5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6A52C2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Informar estoque disponível para que a LM Farma </w:t>
      </w:r>
      <w:proofErr w:type="gramStart"/>
      <w:r w:rsidRPr="006A52C2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agilize</w:t>
      </w:r>
      <w:proofErr w:type="gramEnd"/>
      <w:r w:rsidRPr="006A52C2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a reposição dos produtos a serem recolhidos.</w:t>
      </w:r>
    </w:p>
    <w:p w:rsidR="006A52C2" w:rsidRPr="006A52C2" w:rsidRDefault="006A52C2" w:rsidP="006A5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</w:p>
    <w:p w:rsidR="006A52C2" w:rsidRPr="006A52C2" w:rsidRDefault="006A52C2" w:rsidP="006A52C2">
      <w:pPr>
        <w:shd w:val="clear" w:color="auto" w:fill="FFFFFF"/>
        <w:spacing w:before="150" w:after="150" w:line="300" w:lineRule="atLeast"/>
        <w:outlineLvl w:val="3"/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</w:pPr>
      <w:r w:rsidRPr="006A52C2"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  <w:t>Histórico:</w:t>
      </w:r>
    </w:p>
    <w:p w:rsidR="006A52C2" w:rsidRPr="006A52C2" w:rsidRDefault="006A52C2" w:rsidP="006A52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6A52C2">
        <w:rPr>
          <w:rFonts w:ascii="Arial" w:eastAsia="Times New Roman" w:hAnsi="Arial" w:cs="Arial"/>
          <w:i/>
          <w:iCs/>
          <w:color w:val="172938"/>
          <w:sz w:val="20"/>
          <w:szCs w:val="20"/>
          <w:lang w:eastAsia="pt-BR"/>
        </w:rPr>
        <w:t>Notificação feita pela empresa em atendimento à RDC 23/2012 (que dispõe sobre a obrigatoriedade de execução e notificação de ação de campo por parte do detentor do registro do produto para a saúde)</w:t>
      </w:r>
    </w:p>
    <w:p w:rsidR="006A52C2" w:rsidRPr="006A52C2" w:rsidRDefault="006A52C2" w:rsidP="006A52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6A52C2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</w:p>
    <w:p w:rsidR="006A52C2" w:rsidRPr="006A52C2" w:rsidRDefault="006A52C2" w:rsidP="006A52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6A52C2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lastRenderedPageBreak/>
        <w:t>Empresa detentora do registro:</w:t>
      </w:r>
      <w:r w:rsidRPr="006A52C2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LM Farma Indústria e Comércio Ltda.</w:t>
      </w:r>
    </w:p>
    <w:p w:rsidR="006A52C2" w:rsidRPr="006A52C2" w:rsidRDefault="006A52C2" w:rsidP="006A52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6A52C2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Rua Jaguarão, 95. São Paulo</w:t>
      </w:r>
    </w:p>
    <w:p w:rsidR="006A52C2" w:rsidRPr="006A52C2" w:rsidRDefault="006A52C2" w:rsidP="006A52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6A52C2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Fabricante:</w:t>
      </w:r>
      <w:r w:rsidRPr="006A52C2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LM Farma Indústria e Comércio Ltda. Rua Jaguarão, 95. São Paulo</w:t>
      </w:r>
    </w:p>
    <w:p w:rsidR="006A52C2" w:rsidRPr="006A52C2" w:rsidRDefault="006A52C2" w:rsidP="006A5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</w:p>
    <w:p w:rsidR="006A52C2" w:rsidRPr="006A52C2" w:rsidRDefault="006A52C2" w:rsidP="006A52C2">
      <w:pPr>
        <w:shd w:val="clear" w:color="auto" w:fill="FFFFFF"/>
        <w:spacing w:before="150" w:after="150" w:line="300" w:lineRule="atLeast"/>
        <w:outlineLvl w:val="3"/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</w:pPr>
      <w:r w:rsidRPr="006A52C2"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  <w:t>Recomendações:</w:t>
      </w:r>
    </w:p>
    <w:p w:rsidR="006A52C2" w:rsidRPr="006A52C2" w:rsidRDefault="006A52C2" w:rsidP="006A52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6A52C2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Em caso de distribuidor, que não é o cliente final, solicitamos gentilmente que o recolhimento dos lotes acima seja feito também junto aos seus clientes.</w:t>
      </w:r>
    </w:p>
    <w:p w:rsidR="006A52C2" w:rsidRPr="006A52C2" w:rsidRDefault="006A52C2" w:rsidP="006A52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6A52C2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O retorno do produto deve ser feito à L.M. Farma por nota fiscal de devolução.</w:t>
      </w:r>
    </w:p>
    <w:p w:rsidR="006A52C2" w:rsidRPr="006A52C2" w:rsidRDefault="006A52C2" w:rsidP="006A52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6A52C2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Para orientações sobre a data de reposição dos produtos, entre em contato com o nosso Serviço de Atendimento ao Cliente.</w:t>
      </w:r>
    </w:p>
    <w:p w:rsidR="006A52C2" w:rsidRPr="006A52C2" w:rsidRDefault="006A52C2" w:rsidP="006A52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6A52C2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</w:p>
    <w:p w:rsidR="006A52C2" w:rsidRPr="006A52C2" w:rsidRDefault="006A52C2" w:rsidP="006A52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6A52C2">
        <w:rPr>
          <w:rFonts w:ascii="Arial" w:eastAsia="Times New Roman" w:hAnsi="Arial" w:cs="Arial"/>
          <w:b/>
          <w:bCs/>
          <w:color w:val="172938"/>
          <w:sz w:val="20"/>
          <w:szCs w:val="20"/>
          <w:u w:val="single"/>
          <w:lang w:eastAsia="pt-BR"/>
        </w:rPr>
        <w:t xml:space="preserve"> Caso queira notificar queixas técnicas e </w:t>
      </w:r>
      <w:proofErr w:type="gramStart"/>
      <w:r w:rsidRPr="006A52C2">
        <w:rPr>
          <w:rFonts w:ascii="Arial" w:eastAsia="Times New Roman" w:hAnsi="Arial" w:cs="Arial"/>
          <w:b/>
          <w:bCs/>
          <w:color w:val="172938"/>
          <w:sz w:val="20"/>
          <w:szCs w:val="20"/>
          <w:u w:val="single"/>
          <w:lang w:eastAsia="pt-BR"/>
        </w:rPr>
        <w:t>eventos adversos utilize</w:t>
      </w:r>
      <w:proofErr w:type="gramEnd"/>
      <w:r w:rsidRPr="006A52C2">
        <w:rPr>
          <w:rFonts w:ascii="Arial" w:eastAsia="Times New Roman" w:hAnsi="Arial" w:cs="Arial"/>
          <w:b/>
          <w:bCs/>
          <w:color w:val="172938"/>
          <w:sz w:val="20"/>
          <w:szCs w:val="20"/>
          <w:u w:val="single"/>
          <w:lang w:eastAsia="pt-BR"/>
        </w:rPr>
        <w:t xml:space="preserve"> os canais abaixo:</w:t>
      </w:r>
    </w:p>
    <w:p w:rsidR="006A52C2" w:rsidRPr="006A52C2" w:rsidRDefault="006A52C2" w:rsidP="006A5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6A52C2">
        <w:rPr>
          <w:rFonts w:ascii="MS Mincho" w:eastAsia="MS Mincho" w:hAnsi="MS Mincho" w:cs="MS Mincho" w:hint="eastAsia"/>
          <w:color w:val="EEEEEE"/>
          <w:sz w:val="20"/>
          <w:szCs w:val="20"/>
          <w:bdr w:val="single" w:sz="6" w:space="0" w:color="BBBBBB" w:frame="1"/>
          <w:lang w:eastAsia="pt-BR"/>
        </w:rPr>
        <w:t>✕</w:t>
      </w:r>
      <w:proofErr w:type="spellStart"/>
      <w:r w:rsidRPr="006A52C2">
        <w:rPr>
          <w:rFonts w:ascii="Arial Narrow" w:eastAsia="Times New Roman" w:hAnsi="Arial Narrow" w:cs="Arial"/>
          <w:b/>
          <w:bCs/>
          <w:color w:val="7F7F7F"/>
          <w:sz w:val="20"/>
          <w:szCs w:val="20"/>
          <w:bdr w:val="single" w:sz="6" w:space="0" w:color="BBBBBB" w:frame="1"/>
          <w:lang w:eastAsia="pt-BR"/>
        </w:rPr>
        <w:t>Powered</w:t>
      </w:r>
      <w:proofErr w:type="spellEnd"/>
      <w:r w:rsidRPr="006A52C2">
        <w:rPr>
          <w:rFonts w:ascii="Arial Narrow" w:eastAsia="Times New Roman" w:hAnsi="Arial Narrow" w:cs="Arial"/>
          <w:b/>
          <w:bCs/>
          <w:color w:val="7F7F7F"/>
          <w:sz w:val="20"/>
          <w:szCs w:val="20"/>
          <w:bdr w:val="single" w:sz="6" w:space="0" w:color="BBBBBB" w:frame="1"/>
          <w:lang w:eastAsia="pt-BR"/>
        </w:rPr>
        <w:t xml:space="preserve"> </w:t>
      </w:r>
      <w:proofErr w:type="spellStart"/>
      <w:r w:rsidRPr="006A52C2">
        <w:rPr>
          <w:rFonts w:ascii="Arial Narrow" w:eastAsia="Times New Roman" w:hAnsi="Arial Narrow" w:cs="Arial"/>
          <w:b/>
          <w:bCs/>
          <w:color w:val="7F7F7F"/>
          <w:sz w:val="20"/>
          <w:szCs w:val="20"/>
          <w:bdr w:val="single" w:sz="6" w:space="0" w:color="BBBBBB" w:frame="1"/>
          <w:lang w:eastAsia="pt-BR"/>
        </w:rPr>
        <w:t>By</w:t>
      </w:r>
      <w:proofErr w:type="spellEnd"/>
      <w:r w:rsidRPr="006A52C2">
        <w:rPr>
          <w:rFonts w:ascii="Arial Narrow" w:eastAsia="Times New Roman" w:hAnsi="Arial Narrow" w:cs="Arial"/>
          <w:b/>
          <w:bCs/>
          <w:color w:val="7F7F7F"/>
          <w:sz w:val="20"/>
          <w:szCs w:val="20"/>
          <w:bdr w:val="single" w:sz="6" w:space="0" w:color="BBBBBB" w:frame="1"/>
          <w:lang w:eastAsia="pt-BR"/>
        </w:rPr>
        <w:t xml:space="preserve"> delta </w:t>
      </w:r>
      <w:proofErr w:type="spellStart"/>
      <w:r w:rsidRPr="006A52C2">
        <w:rPr>
          <w:rFonts w:ascii="Arial Narrow" w:eastAsia="Times New Roman" w:hAnsi="Arial Narrow" w:cs="Arial"/>
          <w:b/>
          <w:bCs/>
          <w:color w:val="7F7F7F"/>
          <w:sz w:val="20"/>
          <w:szCs w:val="20"/>
          <w:bdr w:val="single" w:sz="6" w:space="0" w:color="BBBBBB" w:frame="1"/>
          <w:lang w:eastAsia="pt-BR"/>
        </w:rPr>
        <w:t>chrome</w:t>
      </w:r>
      <w:proofErr w:type="spellEnd"/>
      <w:r w:rsidRPr="006A52C2">
        <w:rPr>
          <w:rFonts w:ascii="Arial Narrow" w:eastAsia="Times New Roman" w:hAnsi="Arial Narrow" w:cs="Arial"/>
          <w:b/>
          <w:bCs/>
          <w:color w:val="7F7F7F"/>
          <w:sz w:val="20"/>
          <w:szCs w:val="20"/>
          <w:bdr w:val="single" w:sz="6" w:space="0" w:color="BBBBBB" w:frame="1"/>
          <w:lang w:eastAsia="pt-BR"/>
        </w:rPr>
        <w:t xml:space="preserve"> </w:t>
      </w:r>
      <w:proofErr w:type="spellStart"/>
      <w:proofErr w:type="gramStart"/>
      <w:r w:rsidRPr="006A52C2">
        <w:rPr>
          <w:rFonts w:ascii="Arial Narrow" w:eastAsia="Times New Roman" w:hAnsi="Arial Narrow" w:cs="Arial"/>
          <w:b/>
          <w:bCs/>
          <w:color w:val="7F7F7F"/>
          <w:sz w:val="20"/>
          <w:szCs w:val="20"/>
          <w:bdr w:val="single" w:sz="6" w:space="0" w:color="BBBBBB" w:frame="1"/>
          <w:lang w:eastAsia="pt-BR"/>
        </w:rPr>
        <w:t>toolbar</w:t>
      </w:r>
      <w:r w:rsidRPr="006A52C2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Notivisa</w:t>
      </w:r>
      <w:proofErr w:type="spellEnd"/>
      <w:proofErr w:type="gramEnd"/>
      <w:r w:rsidRPr="006A52C2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:</w:t>
      </w:r>
      <w:r w:rsidRPr="006A52C2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Notificações de eventos adversos (EA) e queixas técnicas (QT) para produtos sujeitos à Vigilância Sanitária devem ser feitos por meio do </w:t>
      </w:r>
      <w:hyperlink r:id="rId5" w:history="1">
        <w:r w:rsidRPr="006A52C2">
          <w:rPr>
            <w:rFonts w:ascii="Arial" w:eastAsia="Times New Roman" w:hAnsi="Arial" w:cs="Arial"/>
            <w:color w:val="2C67CD"/>
            <w:sz w:val="20"/>
            <w:szCs w:val="20"/>
            <w:u w:val="single"/>
            <w:lang w:eastAsia="pt-BR"/>
          </w:rPr>
          <w:t>Sistema NOTIVISA</w:t>
        </w:r>
      </w:hyperlink>
      <w:r w:rsidRPr="006A52C2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. Para acessar o Sistema, é preciso se cadastrar e selecionar a opção Profissional de Saúde</w:t>
      </w:r>
      <w:proofErr w:type="gramStart"/>
      <w:r w:rsidRPr="006A52C2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, se for</w:t>
      </w:r>
      <w:proofErr w:type="gramEnd"/>
      <w:r w:rsidRPr="006A52C2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um profissional liberal ou a opção Instituição/Entidade, se for um profissional de uma instituição/entidade.</w:t>
      </w:r>
    </w:p>
    <w:p w:rsidR="006A52C2" w:rsidRPr="006A52C2" w:rsidRDefault="006A52C2" w:rsidP="006A52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6A52C2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</w:p>
    <w:p w:rsidR="006A52C2" w:rsidRPr="006A52C2" w:rsidRDefault="006A52C2" w:rsidP="006A52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6A52C2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 xml:space="preserve">Sistema de </w:t>
      </w:r>
      <w:proofErr w:type="spellStart"/>
      <w:r w:rsidRPr="006A52C2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Tecnovigilância</w:t>
      </w:r>
      <w:proofErr w:type="spellEnd"/>
      <w:r w:rsidRPr="006A52C2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: </w:t>
      </w:r>
      <w:r w:rsidRPr="006A52C2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Paciente ou cidadão pode notificar por meio do Sistema de </w:t>
      </w:r>
      <w:proofErr w:type="spellStart"/>
      <w:r w:rsidRPr="006A52C2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Tecnovigilância</w:t>
      </w:r>
      <w:proofErr w:type="spellEnd"/>
      <w:r w:rsidRPr="006A52C2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/SISTEC acesso por meio do link &lt;</w:t>
      </w:r>
      <w:r w:rsidRPr="006A52C2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http://www.anvisa.gov.br/sistec/notificacaoavulsa/notificacaoavulsa1.asp&gt;</w:t>
      </w:r>
    </w:p>
    <w:p w:rsidR="006A52C2" w:rsidRPr="006A52C2" w:rsidRDefault="006A52C2" w:rsidP="006A5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</w:p>
    <w:p w:rsidR="006A52C2" w:rsidRPr="006A52C2" w:rsidRDefault="006A52C2" w:rsidP="006A52C2">
      <w:pPr>
        <w:shd w:val="clear" w:color="auto" w:fill="FFFFFF"/>
        <w:spacing w:before="150" w:after="150" w:line="300" w:lineRule="atLeast"/>
        <w:outlineLvl w:val="3"/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</w:pPr>
      <w:r w:rsidRPr="006A52C2"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  <w:t>Anexos:</w:t>
      </w:r>
      <w:bookmarkStart w:id="0" w:name="_GoBack"/>
      <w:bookmarkEnd w:id="0"/>
    </w:p>
    <w:p w:rsidR="006A52C2" w:rsidRPr="006A52C2" w:rsidRDefault="006A52C2" w:rsidP="006A52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hyperlink r:id="rId6" w:tgtFrame="_blank" w:history="1">
        <w:r w:rsidRPr="006A52C2">
          <w:rPr>
            <w:rFonts w:ascii="Arial" w:eastAsia="Times New Roman" w:hAnsi="Arial" w:cs="Arial"/>
            <w:color w:val="2C67CD"/>
            <w:sz w:val="20"/>
            <w:szCs w:val="20"/>
            <w:u w:val="single"/>
            <w:lang w:eastAsia="pt-BR"/>
          </w:rPr>
          <w:t>Carta ao Cliente</w:t>
        </w:r>
        <w:r w:rsidRPr="006A52C2">
          <w:rPr>
            <w:rFonts w:ascii="Arial" w:eastAsia="Times New Roman" w:hAnsi="Arial" w:cs="Arial"/>
            <w:color w:val="2C67CD"/>
            <w:sz w:val="20"/>
            <w:szCs w:val="20"/>
            <w:lang w:eastAsia="pt-BR"/>
          </w:rPr>
          <w:br/>
        </w:r>
      </w:hyperlink>
    </w:p>
    <w:p w:rsidR="006A52C2" w:rsidRPr="006A52C2" w:rsidRDefault="006A52C2" w:rsidP="006A5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</w:p>
    <w:p w:rsidR="006A52C2" w:rsidRPr="006A52C2" w:rsidRDefault="006A52C2" w:rsidP="006A52C2">
      <w:pPr>
        <w:shd w:val="clear" w:color="auto" w:fill="FFFFFF"/>
        <w:spacing w:before="150" w:after="150" w:line="300" w:lineRule="atLeast"/>
        <w:outlineLvl w:val="3"/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</w:pPr>
      <w:r w:rsidRPr="006A52C2"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  <w:t>Referências:</w:t>
      </w:r>
    </w:p>
    <w:p w:rsidR="006A52C2" w:rsidRPr="006A52C2" w:rsidRDefault="006A52C2" w:rsidP="006A5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hyperlink r:id="rId7" w:tgtFrame="_blank" w:history="1">
        <w:r w:rsidRPr="006A52C2">
          <w:rPr>
            <w:rFonts w:ascii="Arial" w:eastAsia="Times New Roman" w:hAnsi="Arial" w:cs="Arial"/>
            <w:color w:val="2C67CD"/>
            <w:sz w:val="20"/>
            <w:szCs w:val="20"/>
            <w:u w:val="single"/>
            <w:lang w:eastAsia="pt-BR"/>
          </w:rPr>
          <w:t xml:space="preserve">Acesso ao Alerta de </w:t>
        </w:r>
        <w:proofErr w:type="spellStart"/>
        <w:r w:rsidRPr="006A52C2">
          <w:rPr>
            <w:rFonts w:ascii="Arial" w:eastAsia="Times New Roman" w:hAnsi="Arial" w:cs="Arial"/>
            <w:color w:val="2C67CD"/>
            <w:sz w:val="20"/>
            <w:szCs w:val="20"/>
            <w:u w:val="single"/>
            <w:lang w:eastAsia="pt-BR"/>
          </w:rPr>
          <w:t>Tecnovigilância</w:t>
        </w:r>
        <w:proofErr w:type="spellEnd"/>
        <w:r w:rsidRPr="006A52C2">
          <w:rPr>
            <w:rFonts w:ascii="Arial" w:eastAsia="Times New Roman" w:hAnsi="Arial" w:cs="Arial"/>
            <w:color w:val="2C67CD"/>
            <w:sz w:val="20"/>
            <w:szCs w:val="20"/>
            <w:u w:val="single"/>
            <w:lang w:eastAsia="pt-BR"/>
          </w:rPr>
          <w:t>/SISTEC</w:t>
        </w:r>
      </w:hyperlink>
    </w:p>
    <w:p w:rsidR="004D4808" w:rsidRDefault="004D4808"/>
    <w:sectPr w:rsidR="004D48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C2"/>
    <w:rsid w:val="004D4808"/>
    <w:rsid w:val="006A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6A52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A52C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A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A52C2"/>
  </w:style>
  <w:style w:type="character" w:styleId="Forte">
    <w:name w:val="Strong"/>
    <w:basedOn w:val="Fontepargpadro"/>
    <w:uiPriority w:val="22"/>
    <w:qFormat/>
    <w:rsid w:val="006A52C2"/>
    <w:rPr>
      <w:b/>
      <w:bCs/>
    </w:rPr>
  </w:style>
  <w:style w:type="character" w:styleId="nfase">
    <w:name w:val="Emphasis"/>
    <w:basedOn w:val="Fontepargpadro"/>
    <w:uiPriority w:val="20"/>
    <w:qFormat/>
    <w:rsid w:val="006A52C2"/>
    <w:rPr>
      <w:i/>
      <w:iCs/>
    </w:rPr>
  </w:style>
  <w:style w:type="character" w:customStyle="1" w:styleId="s5s4x">
    <w:name w:val="s5s4x"/>
    <w:basedOn w:val="Fontepargpadro"/>
    <w:rsid w:val="006A52C2"/>
  </w:style>
  <w:style w:type="character" w:customStyle="1" w:styleId="s5s4pbn">
    <w:name w:val="s5s4pbn"/>
    <w:basedOn w:val="Fontepargpadro"/>
    <w:rsid w:val="006A52C2"/>
  </w:style>
  <w:style w:type="character" w:styleId="Hyperlink">
    <w:name w:val="Hyperlink"/>
    <w:basedOn w:val="Fontepargpadro"/>
    <w:uiPriority w:val="99"/>
    <w:semiHidden/>
    <w:unhideWhenUsed/>
    <w:rsid w:val="006A52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6A52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A52C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A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A52C2"/>
  </w:style>
  <w:style w:type="character" w:styleId="Forte">
    <w:name w:val="Strong"/>
    <w:basedOn w:val="Fontepargpadro"/>
    <w:uiPriority w:val="22"/>
    <w:qFormat/>
    <w:rsid w:val="006A52C2"/>
    <w:rPr>
      <w:b/>
      <w:bCs/>
    </w:rPr>
  </w:style>
  <w:style w:type="character" w:styleId="nfase">
    <w:name w:val="Emphasis"/>
    <w:basedOn w:val="Fontepargpadro"/>
    <w:uiPriority w:val="20"/>
    <w:qFormat/>
    <w:rsid w:val="006A52C2"/>
    <w:rPr>
      <w:i/>
      <w:iCs/>
    </w:rPr>
  </w:style>
  <w:style w:type="character" w:customStyle="1" w:styleId="s5s4x">
    <w:name w:val="s5s4x"/>
    <w:basedOn w:val="Fontepargpadro"/>
    <w:rsid w:val="006A52C2"/>
  </w:style>
  <w:style w:type="character" w:customStyle="1" w:styleId="s5s4pbn">
    <w:name w:val="s5s4pbn"/>
    <w:basedOn w:val="Fontepargpadro"/>
    <w:rsid w:val="006A52C2"/>
  </w:style>
  <w:style w:type="character" w:styleId="Hyperlink">
    <w:name w:val="Hyperlink"/>
    <w:basedOn w:val="Fontepargpadro"/>
    <w:uiPriority w:val="99"/>
    <w:semiHidden/>
    <w:unhideWhenUsed/>
    <w:rsid w:val="006A52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446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201792435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056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124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966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3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visa.gov.br/sistec/alerta/RelatorioAlerta.asp?NomeColuna=CO_SEQ_ALERTA&amp;Parametro=204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rtal.anvisa.gov.br/documents/33868/3173080/comunicado+de+Recall+23.11.16+pt.docx/2c3ab84c-c67b-4905-a10c-8bae2791bb09" TargetMode="External"/><Relationship Id="rId5" Type="http://schemas.openxmlformats.org/officeDocument/2006/relationships/hyperlink" Target="http://www.anvisa.gov.br/hotsite/notivisa/index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Veras</dc:creator>
  <cp:lastModifiedBy>Cyntia Veras</cp:lastModifiedBy>
  <cp:revision>1</cp:revision>
  <dcterms:created xsi:type="dcterms:W3CDTF">2017-01-09T13:04:00Z</dcterms:created>
  <dcterms:modified xsi:type="dcterms:W3CDTF">2017-01-09T13:07:00Z</dcterms:modified>
</cp:coreProperties>
</file>