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BE" w:rsidRDefault="005077BE" w:rsidP="005077BE">
      <w:pPr>
        <w:pStyle w:val="NormalWeb"/>
        <w:spacing w:before="0" w:beforeAutospacing="0" w:after="15" w:afterAutospacing="0"/>
        <w:rPr>
          <w:rFonts w:ascii="Arial" w:hAnsi="Arial" w:cs="Arial"/>
          <w:color w:val="172938"/>
          <w:sz w:val="23"/>
          <w:szCs w:val="23"/>
        </w:rPr>
      </w:pPr>
      <w:r>
        <w:rPr>
          <w:rFonts w:ascii="Arial" w:hAnsi="Arial" w:cs="Arial"/>
          <w:b/>
          <w:bCs/>
          <w:color w:val="172938"/>
          <w:sz w:val="23"/>
          <w:szCs w:val="23"/>
        </w:rPr>
        <w:t>Área:</w:t>
      </w:r>
      <w:r>
        <w:rPr>
          <w:rStyle w:val="apple-converted-space"/>
          <w:rFonts w:ascii="Arial" w:hAnsi="Arial" w:cs="Arial"/>
          <w:b/>
          <w:bCs/>
          <w:color w:val="172938"/>
          <w:sz w:val="23"/>
          <w:szCs w:val="23"/>
        </w:rPr>
        <w:t> </w:t>
      </w:r>
      <w:r>
        <w:rPr>
          <w:rFonts w:ascii="Arial" w:hAnsi="Arial" w:cs="Arial"/>
          <w:color w:val="172938"/>
          <w:sz w:val="23"/>
          <w:szCs w:val="23"/>
        </w:rPr>
        <w:t>GGMON</w:t>
      </w:r>
    </w:p>
    <w:p w:rsidR="005077BE" w:rsidRDefault="005077BE" w:rsidP="005077BE">
      <w:pPr>
        <w:pStyle w:val="NormalWeb"/>
        <w:spacing w:before="0" w:beforeAutospacing="0" w:after="15" w:afterAutospacing="0"/>
        <w:rPr>
          <w:rFonts w:ascii="Arial" w:hAnsi="Arial" w:cs="Arial"/>
          <w:color w:val="172938"/>
          <w:sz w:val="23"/>
          <w:szCs w:val="23"/>
        </w:rPr>
      </w:pPr>
      <w:r>
        <w:rPr>
          <w:rFonts w:ascii="Arial" w:hAnsi="Arial" w:cs="Arial"/>
          <w:b/>
          <w:bCs/>
          <w:color w:val="172938"/>
          <w:sz w:val="23"/>
          <w:szCs w:val="23"/>
        </w:rPr>
        <w:t>Número:</w:t>
      </w:r>
      <w:r>
        <w:rPr>
          <w:rStyle w:val="apple-converted-space"/>
          <w:rFonts w:ascii="Arial" w:hAnsi="Arial" w:cs="Arial"/>
          <w:b/>
          <w:bCs/>
          <w:color w:val="172938"/>
          <w:sz w:val="23"/>
          <w:szCs w:val="23"/>
        </w:rPr>
        <w:t> </w:t>
      </w:r>
      <w:r>
        <w:rPr>
          <w:rFonts w:ascii="Arial" w:hAnsi="Arial" w:cs="Arial"/>
          <w:color w:val="172938"/>
          <w:sz w:val="23"/>
          <w:szCs w:val="23"/>
        </w:rPr>
        <w:t>2046</w:t>
      </w:r>
    </w:p>
    <w:p w:rsidR="005077BE" w:rsidRDefault="005077BE" w:rsidP="005077BE">
      <w:pPr>
        <w:pStyle w:val="NormalWeb"/>
        <w:spacing w:before="0" w:beforeAutospacing="0" w:after="15" w:afterAutospacing="0"/>
        <w:rPr>
          <w:rFonts w:ascii="Arial" w:hAnsi="Arial" w:cs="Arial"/>
          <w:color w:val="172938"/>
          <w:sz w:val="23"/>
          <w:szCs w:val="23"/>
        </w:rPr>
      </w:pPr>
      <w:r>
        <w:rPr>
          <w:rFonts w:ascii="Arial" w:hAnsi="Arial" w:cs="Arial"/>
          <w:b/>
          <w:bCs/>
          <w:color w:val="172938"/>
          <w:sz w:val="23"/>
          <w:szCs w:val="23"/>
        </w:rPr>
        <w:t>Ano:</w:t>
      </w:r>
      <w:r>
        <w:rPr>
          <w:rStyle w:val="apple-converted-space"/>
          <w:rFonts w:ascii="Arial" w:hAnsi="Arial" w:cs="Arial"/>
          <w:b/>
          <w:bCs/>
          <w:color w:val="172938"/>
          <w:sz w:val="23"/>
          <w:szCs w:val="23"/>
        </w:rPr>
        <w:t> </w:t>
      </w:r>
      <w:r>
        <w:rPr>
          <w:rFonts w:ascii="Arial" w:hAnsi="Arial" w:cs="Arial"/>
          <w:color w:val="172938"/>
          <w:sz w:val="23"/>
          <w:szCs w:val="23"/>
        </w:rPr>
        <w:t>2017</w:t>
      </w:r>
    </w:p>
    <w:p w:rsidR="005077BE" w:rsidRDefault="005077BE" w:rsidP="005077BE">
      <w:pPr>
        <w:pStyle w:val="Ttulo4"/>
        <w:spacing w:before="150" w:beforeAutospacing="0" w:after="150" w:afterAutospacing="0" w:line="300" w:lineRule="atLeast"/>
        <w:rPr>
          <w:rFonts w:ascii="inherit" w:hAnsi="inherit" w:cs="Arial"/>
          <w:color w:val="172938"/>
          <w:sz w:val="26"/>
          <w:szCs w:val="26"/>
        </w:rPr>
      </w:pPr>
      <w:r>
        <w:rPr>
          <w:rFonts w:ascii="inherit" w:hAnsi="inherit" w:cs="Arial"/>
          <w:color w:val="172938"/>
          <w:sz w:val="26"/>
          <w:szCs w:val="26"/>
        </w:rPr>
        <w:t>Resumo: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bookmarkStart w:id="0" w:name="_GoBack"/>
      <w:r>
        <w:rPr>
          <w:rFonts w:ascii="Arial" w:hAnsi="Arial" w:cs="Arial"/>
          <w:color w:val="172938"/>
          <w:sz w:val="20"/>
          <w:szCs w:val="20"/>
        </w:rPr>
        <w:t>Alerta 2046 (</w:t>
      </w:r>
      <w:proofErr w:type="spellStart"/>
      <w:r>
        <w:rPr>
          <w:rFonts w:ascii="Arial" w:hAnsi="Arial" w:cs="Arial"/>
          <w:color w:val="172938"/>
          <w:sz w:val="20"/>
          <w:szCs w:val="20"/>
        </w:rPr>
        <w:t>Tecnovigilância</w:t>
      </w:r>
      <w:proofErr w:type="spellEnd"/>
      <w:r>
        <w:rPr>
          <w:rFonts w:ascii="Arial" w:hAnsi="Arial" w:cs="Arial"/>
          <w:color w:val="172938"/>
          <w:sz w:val="20"/>
          <w:szCs w:val="20"/>
        </w:rPr>
        <w:t xml:space="preserve">) – LM Farma - </w:t>
      </w:r>
      <w:proofErr w:type="spellStart"/>
      <w:r>
        <w:rPr>
          <w:rFonts w:ascii="Arial" w:hAnsi="Arial" w:cs="Arial"/>
          <w:color w:val="172938"/>
          <w:sz w:val="20"/>
          <w:szCs w:val="20"/>
        </w:rPr>
        <w:t>Curatec</w:t>
      </w:r>
      <w:proofErr w:type="spellEnd"/>
      <w:r>
        <w:rPr>
          <w:rFonts w:ascii="Arial" w:hAnsi="Arial" w:cs="Arial"/>
          <w:color w:val="172938"/>
          <w:sz w:val="20"/>
          <w:szCs w:val="20"/>
        </w:rPr>
        <w:t xml:space="preserve"> Espuma de Poliuretano – Suspeita de desvio de qualidade a possível falha na embalagem primária.</w:t>
      </w:r>
    </w:p>
    <w:bookmarkEnd w:id="0"/>
    <w:p w:rsidR="005077BE" w:rsidRDefault="005077BE" w:rsidP="005077BE">
      <w:pPr>
        <w:rPr>
          <w:rFonts w:ascii="Arial" w:hAnsi="Arial" w:cs="Arial"/>
          <w:color w:val="172938"/>
          <w:sz w:val="20"/>
          <w:szCs w:val="20"/>
        </w:rPr>
      </w:pPr>
    </w:p>
    <w:p w:rsidR="005077BE" w:rsidRDefault="005077BE" w:rsidP="005077BE">
      <w:pPr>
        <w:pStyle w:val="Ttulo4"/>
        <w:spacing w:before="150" w:beforeAutospacing="0" w:after="150" w:afterAutospacing="0" w:line="300" w:lineRule="atLeast"/>
        <w:rPr>
          <w:rFonts w:ascii="inherit" w:hAnsi="inherit" w:cs="Arial"/>
          <w:color w:val="172938"/>
          <w:sz w:val="26"/>
          <w:szCs w:val="26"/>
        </w:rPr>
      </w:pPr>
      <w:r>
        <w:rPr>
          <w:rFonts w:ascii="inherit" w:hAnsi="inherit" w:cs="Arial"/>
          <w:color w:val="172938"/>
          <w:sz w:val="26"/>
          <w:szCs w:val="26"/>
        </w:rPr>
        <w:t>Identificação do produto ou caso: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Fonts w:ascii="Arial" w:hAnsi="Arial" w:cs="Arial"/>
          <w:color w:val="172938"/>
          <w:sz w:val="20"/>
          <w:szCs w:val="20"/>
        </w:rPr>
        <w:t xml:space="preserve">Nome comercial: </w:t>
      </w:r>
      <w:proofErr w:type="spellStart"/>
      <w:r>
        <w:rPr>
          <w:rFonts w:ascii="Arial" w:hAnsi="Arial" w:cs="Arial"/>
          <w:color w:val="172938"/>
          <w:sz w:val="20"/>
          <w:szCs w:val="20"/>
        </w:rPr>
        <w:t>Curatec</w:t>
      </w:r>
      <w:proofErr w:type="spellEnd"/>
      <w:r>
        <w:rPr>
          <w:rFonts w:ascii="Arial" w:hAnsi="Arial" w:cs="Arial"/>
          <w:color w:val="172938"/>
          <w:sz w:val="20"/>
          <w:szCs w:val="20"/>
        </w:rPr>
        <w:t xml:space="preserve"> Espuma de Poliuretano Nome técnico: Curativo Número de registro ANVISA: </w:t>
      </w:r>
      <w:proofErr w:type="gramStart"/>
      <w:r>
        <w:rPr>
          <w:rFonts w:ascii="Arial" w:hAnsi="Arial" w:cs="Arial"/>
          <w:color w:val="172938"/>
          <w:sz w:val="20"/>
          <w:szCs w:val="20"/>
        </w:rPr>
        <w:t>80246910014 Classe</w:t>
      </w:r>
      <w:proofErr w:type="gramEnd"/>
      <w:r>
        <w:rPr>
          <w:rFonts w:ascii="Arial" w:hAnsi="Arial" w:cs="Arial"/>
          <w:color w:val="172938"/>
          <w:sz w:val="20"/>
          <w:szCs w:val="20"/>
        </w:rPr>
        <w:t xml:space="preserve"> de risco: III Modelo afetado: 10 cm x 10 cm / 10 cm x 10 cm traqueostomia Números de série afetados: 16081604 / 16082001</w:t>
      </w:r>
    </w:p>
    <w:p w:rsidR="005077BE" w:rsidRDefault="005077BE" w:rsidP="005077BE">
      <w:pPr>
        <w:rPr>
          <w:rFonts w:ascii="Arial" w:hAnsi="Arial" w:cs="Arial"/>
          <w:color w:val="172938"/>
          <w:sz w:val="20"/>
          <w:szCs w:val="20"/>
        </w:rPr>
      </w:pPr>
    </w:p>
    <w:p w:rsidR="005077BE" w:rsidRDefault="005077BE" w:rsidP="005077BE">
      <w:pPr>
        <w:pStyle w:val="Ttulo4"/>
        <w:spacing w:before="150" w:beforeAutospacing="0" w:after="150" w:afterAutospacing="0" w:line="300" w:lineRule="atLeast"/>
        <w:rPr>
          <w:rFonts w:ascii="inherit" w:hAnsi="inherit" w:cs="Arial"/>
          <w:color w:val="172938"/>
          <w:sz w:val="26"/>
          <w:szCs w:val="26"/>
        </w:rPr>
      </w:pPr>
      <w:r>
        <w:rPr>
          <w:rFonts w:ascii="inherit" w:hAnsi="inherit" w:cs="Arial"/>
          <w:color w:val="172938"/>
          <w:sz w:val="26"/>
          <w:szCs w:val="26"/>
        </w:rPr>
        <w:t>Problema: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Fonts w:ascii="Arial" w:hAnsi="Arial" w:cs="Arial"/>
          <w:color w:val="172938"/>
          <w:sz w:val="20"/>
          <w:szCs w:val="20"/>
        </w:rPr>
        <w:t xml:space="preserve">A empresa LM Farma, durante o processo de validação de um novo tamanho de envelope, através do teste corante azul de metileno realizado exclusivamente em validações, evidenciou a formação de </w:t>
      </w:r>
      <w:proofErr w:type="spellStart"/>
      <w:r>
        <w:rPr>
          <w:rFonts w:ascii="Arial" w:hAnsi="Arial" w:cs="Arial"/>
          <w:color w:val="172938"/>
          <w:sz w:val="20"/>
          <w:szCs w:val="20"/>
        </w:rPr>
        <w:t>microcanais</w:t>
      </w:r>
      <w:proofErr w:type="spellEnd"/>
      <w:r>
        <w:rPr>
          <w:rFonts w:ascii="Arial" w:hAnsi="Arial" w:cs="Arial"/>
          <w:color w:val="172938"/>
          <w:sz w:val="20"/>
          <w:szCs w:val="20"/>
        </w:rPr>
        <w:t xml:space="preserve"> no ponto de intersecção entre a selagem do fornecedor (</w:t>
      </w:r>
      <w:proofErr w:type="spellStart"/>
      <w:r>
        <w:rPr>
          <w:rFonts w:ascii="Arial" w:hAnsi="Arial" w:cs="Arial"/>
          <w:color w:val="172938"/>
          <w:sz w:val="20"/>
          <w:szCs w:val="20"/>
        </w:rPr>
        <w:t>Amcor</w:t>
      </w:r>
      <w:proofErr w:type="spellEnd"/>
      <w:r>
        <w:rPr>
          <w:rFonts w:ascii="Arial" w:hAnsi="Arial" w:cs="Arial"/>
          <w:color w:val="172938"/>
          <w:sz w:val="20"/>
          <w:szCs w:val="20"/>
        </w:rPr>
        <w:t>) e a selagem realizada internamente pela empresa LM Farma.</w:t>
      </w:r>
    </w:p>
    <w:p w:rsidR="005077BE" w:rsidRDefault="005077BE" w:rsidP="005077BE">
      <w:pPr>
        <w:rPr>
          <w:rFonts w:ascii="Arial" w:hAnsi="Arial" w:cs="Arial"/>
          <w:color w:val="172938"/>
          <w:sz w:val="20"/>
          <w:szCs w:val="20"/>
        </w:rPr>
      </w:pPr>
      <w:r>
        <w:rPr>
          <w:rFonts w:ascii="Arial" w:hAnsi="Arial" w:cs="Arial"/>
          <w:color w:val="172938"/>
          <w:sz w:val="20"/>
          <w:szCs w:val="20"/>
        </w:rPr>
        <w:t>Foi aberta a Não conformidade número 155/16, e, durante a investigação dos lotes, foi detectado que o material de embalagem em utilização sofre interferência por pequenas variações de processamento em  cada equipamento de selagem (tempo, pressão, temperatura, borracha e formato da barra de selagem, alinhamento da batida entre os mordentes, gramatura e tipo do material usado), até então categorizado em mesmo grupo.</w:t>
      </w:r>
    </w:p>
    <w:p w:rsidR="005077BE" w:rsidRDefault="005077BE" w:rsidP="005077BE">
      <w:pPr>
        <w:rPr>
          <w:rFonts w:ascii="Arial" w:hAnsi="Arial" w:cs="Arial"/>
          <w:color w:val="172938"/>
          <w:sz w:val="20"/>
          <w:szCs w:val="20"/>
        </w:rPr>
      </w:pPr>
    </w:p>
    <w:p w:rsidR="005077BE" w:rsidRDefault="005077BE" w:rsidP="005077BE">
      <w:pPr>
        <w:pStyle w:val="Ttulo4"/>
        <w:spacing w:before="150" w:beforeAutospacing="0" w:after="150" w:afterAutospacing="0" w:line="300" w:lineRule="atLeast"/>
        <w:rPr>
          <w:rFonts w:ascii="inherit" w:hAnsi="inherit" w:cs="Arial"/>
          <w:color w:val="172938"/>
          <w:sz w:val="26"/>
          <w:szCs w:val="26"/>
        </w:rPr>
      </w:pPr>
      <w:r>
        <w:rPr>
          <w:rFonts w:ascii="inherit" w:hAnsi="inherit" w:cs="Arial"/>
          <w:color w:val="172938"/>
          <w:sz w:val="26"/>
          <w:szCs w:val="26"/>
        </w:rPr>
        <w:t>Ação: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Ação de Campo Código</w:t>
      </w:r>
      <w:r>
        <w:rPr>
          <w:rStyle w:val="apple-converted-space"/>
          <w:rFonts w:ascii="Arial" w:hAnsi="Arial" w:cs="Arial"/>
          <w:b/>
          <w:bCs/>
          <w:color w:val="172938"/>
          <w:sz w:val="20"/>
          <w:szCs w:val="20"/>
        </w:rPr>
        <w:t> </w:t>
      </w:r>
      <w:r>
        <w:rPr>
          <w:rFonts w:ascii="Arial" w:hAnsi="Arial" w:cs="Arial"/>
          <w:color w:val="172938"/>
          <w:sz w:val="20"/>
          <w:szCs w:val="20"/>
        </w:rPr>
        <w:t>AC006/</w:t>
      </w:r>
      <w:proofErr w:type="gramStart"/>
      <w:r>
        <w:rPr>
          <w:rFonts w:ascii="Arial" w:hAnsi="Arial" w:cs="Arial"/>
          <w:color w:val="172938"/>
          <w:sz w:val="20"/>
          <w:szCs w:val="20"/>
        </w:rPr>
        <w:t>16.</w:t>
      </w:r>
      <w:proofErr w:type="gramEnd"/>
      <w:r>
        <w:rPr>
          <w:rStyle w:val="Forte"/>
          <w:rFonts w:ascii="Arial" w:hAnsi="Arial" w:cs="Arial"/>
          <w:color w:val="172938"/>
          <w:sz w:val="20"/>
          <w:szCs w:val="20"/>
        </w:rPr>
        <w:t>desencadeada sob responsabilidade da empresa</w:t>
      </w:r>
      <w:r>
        <w:rPr>
          <w:rStyle w:val="apple-converted-space"/>
          <w:rFonts w:ascii="Arial" w:hAnsi="Arial" w:cs="Arial"/>
          <w:b/>
          <w:bCs/>
          <w:color w:val="172938"/>
          <w:sz w:val="20"/>
          <w:szCs w:val="20"/>
        </w:rPr>
        <w:t> </w:t>
      </w:r>
      <w:r>
        <w:rPr>
          <w:rFonts w:ascii="Arial" w:hAnsi="Arial" w:cs="Arial"/>
          <w:color w:val="172938"/>
          <w:sz w:val="20"/>
          <w:szCs w:val="20"/>
        </w:rPr>
        <w:t>LM Farma.  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Classificação do risco:</w:t>
      </w:r>
      <w:r>
        <w:rPr>
          <w:rStyle w:val="apple-converted-space"/>
          <w:rFonts w:ascii="Arial" w:hAnsi="Arial" w:cs="Arial"/>
          <w:color w:val="172938"/>
          <w:sz w:val="20"/>
          <w:szCs w:val="20"/>
        </w:rPr>
        <w:t> </w:t>
      </w:r>
      <w:r>
        <w:rPr>
          <w:rFonts w:ascii="Arial" w:hAnsi="Arial" w:cs="Arial"/>
          <w:color w:val="172938"/>
          <w:sz w:val="20"/>
          <w:szCs w:val="20"/>
        </w:rPr>
        <w:t>Classe III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Classificação da ação de campo:</w:t>
      </w:r>
      <w:r>
        <w:rPr>
          <w:rStyle w:val="apple-converted-space"/>
          <w:rFonts w:ascii="Arial" w:hAnsi="Arial" w:cs="Arial"/>
          <w:color w:val="172938"/>
          <w:sz w:val="20"/>
          <w:szCs w:val="20"/>
        </w:rPr>
        <w:t> </w:t>
      </w:r>
      <w:r>
        <w:rPr>
          <w:rFonts w:ascii="Arial" w:hAnsi="Arial" w:cs="Arial"/>
          <w:color w:val="172938"/>
          <w:sz w:val="20"/>
          <w:szCs w:val="20"/>
        </w:rPr>
        <w:t xml:space="preserve">Recolhimento, Devolução para o </w:t>
      </w:r>
      <w:proofErr w:type="gramStart"/>
      <w:r>
        <w:rPr>
          <w:rFonts w:ascii="Arial" w:hAnsi="Arial" w:cs="Arial"/>
          <w:color w:val="172938"/>
          <w:sz w:val="20"/>
          <w:szCs w:val="20"/>
        </w:rPr>
        <w:t>fabricante</w:t>
      </w:r>
      <w:proofErr w:type="gramEnd"/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Fonts w:ascii="Arial" w:hAnsi="Arial" w:cs="Arial"/>
          <w:color w:val="172938"/>
          <w:sz w:val="20"/>
          <w:szCs w:val="20"/>
        </w:rPr>
        <w:t> 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Recomendações aos usuários e pacientes: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Riscos para o paciente: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Fonts w:ascii="Arial" w:hAnsi="Arial" w:cs="Arial"/>
          <w:color w:val="172938"/>
          <w:sz w:val="20"/>
          <w:szCs w:val="20"/>
        </w:rPr>
        <w:t>A selagem do envelope forma uma barreira para preservar a esterilidade do produto. O uso de um produto não estéril poderia expor pacientes mais debilitados ao risco de uma infecção.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Medidas necessárias: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Fonts w:ascii="Arial" w:hAnsi="Arial" w:cs="Arial"/>
          <w:color w:val="172938"/>
          <w:sz w:val="20"/>
          <w:szCs w:val="20"/>
        </w:rPr>
        <w:t>Não utilizar o produto com suspeita de desvio de qualidade;</w:t>
      </w:r>
    </w:p>
    <w:p w:rsidR="005077BE" w:rsidRDefault="005077BE" w:rsidP="005077BE">
      <w:pPr>
        <w:rPr>
          <w:rFonts w:ascii="Arial" w:hAnsi="Arial" w:cs="Arial"/>
          <w:color w:val="172938"/>
          <w:sz w:val="20"/>
          <w:szCs w:val="20"/>
        </w:rPr>
      </w:pPr>
      <w:r>
        <w:rPr>
          <w:b/>
          <w:bCs/>
          <w:color w:val="172938"/>
        </w:rPr>
        <w:t xml:space="preserve">Informar estoque disponível para que a LM Farma </w:t>
      </w:r>
      <w:proofErr w:type="gramStart"/>
      <w:r>
        <w:rPr>
          <w:b/>
          <w:bCs/>
          <w:color w:val="172938"/>
        </w:rPr>
        <w:t>agilize</w:t>
      </w:r>
      <w:proofErr w:type="gramEnd"/>
      <w:r>
        <w:rPr>
          <w:b/>
          <w:bCs/>
          <w:color w:val="172938"/>
        </w:rPr>
        <w:t xml:space="preserve"> a reposição dos produtos a serem recolhidos.</w:t>
      </w:r>
    </w:p>
    <w:p w:rsidR="005077BE" w:rsidRDefault="005077BE" w:rsidP="005077BE">
      <w:pPr>
        <w:rPr>
          <w:rFonts w:ascii="Arial" w:hAnsi="Arial" w:cs="Arial"/>
          <w:color w:val="172938"/>
          <w:sz w:val="20"/>
          <w:szCs w:val="20"/>
        </w:rPr>
      </w:pPr>
    </w:p>
    <w:p w:rsidR="005077BE" w:rsidRDefault="005077BE" w:rsidP="005077BE">
      <w:pPr>
        <w:pStyle w:val="Ttulo4"/>
        <w:spacing w:before="150" w:beforeAutospacing="0" w:after="150" w:afterAutospacing="0" w:line="300" w:lineRule="atLeast"/>
        <w:rPr>
          <w:rFonts w:ascii="inherit" w:hAnsi="inherit" w:cs="Arial"/>
          <w:color w:val="172938"/>
          <w:sz w:val="26"/>
          <w:szCs w:val="26"/>
        </w:rPr>
      </w:pPr>
      <w:r>
        <w:rPr>
          <w:rFonts w:ascii="inherit" w:hAnsi="inherit" w:cs="Arial"/>
          <w:color w:val="172938"/>
          <w:sz w:val="26"/>
          <w:szCs w:val="26"/>
        </w:rPr>
        <w:t>Histórico: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Fonts w:ascii="Arial" w:hAnsi="Arial" w:cs="Arial"/>
          <w:color w:val="172938"/>
          <w:sz w:val="20"/>
          <w:szCs w:val="20"/>
        </w:rPr>
        <w:lastRenderedPageBreak/>
        <w:t>Notificação feita pela empresa em atendimento à RDC 23/2012 (</w:t>
      </w:r>
      <w:r>
        <w:rPr>
          <w:rStyle w:val="nfase"/>
          <w:rFonts w:ascii="Arial" w:hAnsi="Arial" w:cs="Arial"/>
          <w:color w:val="172938"/>
          <w:sz w:val="20"/>
          <w:szCs w:val="20"/>
        </w:rPr>
        <w:t>que dispõe sobre a obrigatoriedade de execução e notificação de ação de campo por parte do detentor do registro do produto para a saúde</w:t>
      </w:r>
      <w:r>
        <w:rPr>
          <w:rFonts w:ascii="Arial" w:hAnsi="Arial" w:cs="Arial"/>
          <w:color w:val="172938"/>
          <w:sz w:val="20"/>
          <w:szCs w:val="20"/>
        </w:rPr>
        <w:t>).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Fonts w:ascii="Arial" w:hAnsi="Arial" w:cs="Arial"/>
          <w:color w:val="172938"/>
          <w:sz w:val="20"/>
          <w:szCs w:val="20"/>
        </w:rPr>
        <w:t> 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Empresa detentora do registro</w:t>
      </w:r>
      <w:r>
        <w:rPr>
          <w:rStyle w:val="apple-converted-space"/>
          <w:rFonts w:ascii="Arial" w:hAnsi="Arial" w:cs="Arial"/>
          <w:color w:val="172938"/>
          <w:sz w:val="20"/>
          <w:szCs w:val="20"/>
        </w:rPr>
        <w:t> </w:t>
      </w:r>
      <w:r>
        <w:rPr>
          <w:rFonts w:ascii="Arial" w:hAnsi="Arial" w:cs="Arial"/>
          <w:color w:val="172938"/>
          <w:sz w:val="20"/>
          <w:szCs w:val="20"/>
        </w:rPr>
        <w:t xml:space="preserve">LM Farma Indústria e Comércio </w:t>
      </w:r>
      <w:proofErr w:type="spellStart"/>
      <w:proofErr w:type="gramStart"/>
      <w:r>
        <w:rPr>
          <w:rFonts w:ascii="Arial" w:hAnsi="Arial" w:cs="Arial"/>
          <w:color w:val="172938"/>
          <w:sz w:val="20"/>
          <w:szCs w:val="20"/>
        </w:rPr>
        <w:t>Ltda.</w:t>
      </w:r>
      <w:proofErr w:type="gramEnd"/>
      <w:r>
        <w:rPr>
          <w:rFonts w:ascii="Arial" w:hAnsi="Arial" w:cs="Arial"/>
          <w:color w:val="172938"/>
          <w:sz w:val="20"/>
          <w:szCs w:val="20"/>
        </w:rPr>
        <w:t>Rua</w:t>
      </w:r>
      <w:proofErr w:type="spellEnd"/>
      <w:r>
        <w:rPr>
          <w:rFonts w:ascii="Arial" w:hAnsi="Arial" w:cs="Arial"/>
          <w:color w:val="172938"/>
          <w:sz w:val="20"/>
          <w:szCs w:val="20"/>
        </w:rPr>
        <w:t xml:space="preserve"> Jaguarão, 95. São Paulo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Fabricante:</w:t>
      </w:r>
      <w:r>
        <w:rPr>
          <w:rStyle w:val="apple-converted-space"/>
          <w:rFonts w:ascii="Arial" w:hAnsi="Arial" w:cs="Arial"/>
          <w:color w:val="172938"/>
          <w:sz w:val="20"/>
          <w:szCs w:val="20"/>
        </w:rPr>
        <w:t> </w:t>
      </w:r>
      <w:r>
        <w:rPr>
          <w:rFonts w:ascii="Arial" w:hAnsi="Arial" w:cs="Arial"/>
          <w:color w:val="172938"/>
          <w:sz w:val="20"/>
          <w:szCs w:val="20"/>
        </w:rPr>
        <w:t>LM Farma Indústria e Comércio Ltda. Rua Jaguarão, 95. São Paulo</w:t>
      </w:r>
    </w:p>
    <w:p w:rsidR="005077BE" w:rsidRDefault="005077BE" w:rsidP="005077BE">
      <w:pPr>
        <w:rPr>
          <w:rFonts w:ascii="Arial" w:hAnsi="Arial" w:cs="Arial"/>
          <w:color w:val="172938"/>
          <w:sz w:val="20"/>
          <w:szCs w:val="20"/>
        </w:rPr>
      </w:pPr>
    </w:p>
    <w:p w:rsidR="005077BE" w:rsidRDefault="005077BE" w:rsidP="005077BE">
      <w:pPr>
        <w:pStyle w:val="Ttulo4"/>
        <w:spacing w:before="150" w:beforeAutospacing="0" w:after="150" w:afterAutospacing="0" w:line="300" w:lineRule="atLeast"/>
        <w:rPr>
          <w:rFonts w:ascii="inherit" w:hAnsi="inherit" w:cs="Arial"/>
          <w:color w:val="172938"/>
          <w:sz w:val="26"/>
          <w:szCs w:val="26"/>
        </w:rPr>
      </w:pPr>
      <w:r>
        <w:rPr>
          <w:rFonts w:ascii="inherit" w:hAnsi="inherit" w:cs="Arial"/>
          <w:color w:val="172938"/>
          <w:sz w:val="26"/>
          <w:szCs w:val="26"/>
        </w:rPr>
        <w:t>Recomendações: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Fonts w:ascii="Arial" w:hAnsi="Arial" w:cs="Arial"/>
          <w:color w:val="172938"/>
          <w:sz w:val="20"/>
          <w:szCs w:val="20"/>
        </w:rPr>
        <w:t>Em caso de distribuidor, que não é o cliente final, solicitamos gentilmente que o recolhimento dos lotes acima seja feito também junto aos seus clientes.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Fonts w:ascii="Arial" w:hAnsi="Arial" w:cs="Arial"/>
          <w:color w:val="172938"/>
          <w:sz w:val="20"/>
          <w:szCs w:val="20"/>
        </w:rPr>
        <w:t>O retorno do produto deve ser feito à L.M. Farma por nota fiscal de devolução.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Fonts w:ascii="Arial" w:hAnsi="Arial" w:cs="Arial"/>
          <w:color w:val="172938"/>
          <w:sz w:val="20"/>
          <w:szCs w:val="20"/>
        </w:rPr>
        <w:t>Para orientações sobre a data de reposição dos produtos, entre em contato com o nosso Serviço de Atendimento ao Cliente.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Fonts w:ascii="Arial" w:hAnsi="Arial" w:cs="Arial"/>
          <w:color w:val="172938"/>
          <w:sz w:val="20"/>
          <w:szCs w:val="20"/>
        </w:rPr>
        <w:t> 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  <w:u w:val="single"/>
        </w:rPr>
        <w:t xml:space="preserve"> Caso queira notificar queixas técnicas e </w:t>
      </w:r>
      <w:proofErr w:type="gramStart"/>
      <w:r>
        <w:rPr>
          <w:rStyle w:val="Forte"/>
          <w:rFonts w:ascii="Arial" w:hAnsi="Arial" w:cs="Arial"/>
          <w:color w:val="172938"/>
          <w:sz w:val="20"/>
          <w:szCs w:val="20"/>
          <w:u w:val="single"/>
        </w:rPr>
        <w:t>eventos adversos utilize</w:t>
      </w:r>
      <w:proofErr w:type="gramEnd"/>
      <w:r>
        <w:rPr>
          <w:rStyle w:val="Forte"/>
          <w:rFonts w:ascii="Arial" w:hAnsi="Arial" w:cs="Arial"/>
          <w:color w:val="172938"/>
          <w:sz w:val="20"/>
          <w:szCs w:val="20"/>
          <w:u w:val="single"/>
        </w:rPr>
        <w:t xml:space="preserve"> os canais abaixo: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proofErr w:type="spellStart"/>
      <w:r>
        <w:rPr>
          <w:rStyle w:val="Forte"/>
          <w:rFonts w:ascii="Arial" w:hAnsi="Arial" w:cs="Arial"/>
          <w:color w:val="172938"/>
          <w:sz w:val="20"/>
          <w:szCs w:val="20"/>
        </w:rPr>
        <w:t>Notivisa</w:t>
      </w:r>
      <w:proofErr w:type="spellEnd"/>
      <w:r>
        <w:rPr>
          <w:rStyle w:val="Forte"/>
          <w:rFonts w:ascii="Arial" w:hAnsi="Arial" w:cs="Arial"/>
          <w:color w:val="172938"/>
          <w:sz w:val="20"/>
          <w:szCs w:val="20"/>
        </w:rPr>
        <w:t>:</w:t>
      </w:r>
      <w:r>
        <w:rPr>
          <w:rFonts w:ascii="Arial" w:hAnsi="Arial" w:cs="Arial"/>
          <w:color w:val="172938"/>
          <w:sz w:val="20"/>
          <w:szCs w:val="20"/>
        </w:rPr>
        <w:t> Notificações de eventos adversos (EA) e queixas técnicas (QT) para produtos sujeitos à Vigilância Sanitária devem ser feitos por meio do </w:t>
      </w:r>
      <w:hyperlink r:id="rId6" w:history="1">
        <w:r>
          <w:rPr>
            <w:rStyle w:val="Hyperlink"/>
            <w:rFonts w:ascii="Arial" w:hAnsi="Arial" w:cs="Arial"/>
            <w:color w:val="2C67CD"/>
            <w:sz w:val="20"/>
            <w:szCs w:val="20"/>
          </w:rPr>
          <w:t>Sistema NOTIVISA</w:t>
        </w:r>
      </w:hyperlink>
      <w:r>
        <w:rPr>
          <w:rFonts w:ascii="Arial" w:hAnsi="Arial" w:cs="Arial"/>
          <w:color w:val="172938"/>
          <w:sz w:val="20"/>
          <w:szCs w:val="20"/>
        </w:rPr>
        <w:t>. Para acessar o Sistema, é preciso se cadastrar e selecionar a opção Profissional de Saúde</w:t>
      </w:r>
      <w:proofErr w:type="gramStart"/>
      <w:r>
        <w:rPr>
          <w:rFonts w:ascii="Arial" w:hAnsi="Arial" w:cs="Arial"/>
          <w:color w:val="172938"/>
          <w:sz w:val="20"/>
          <w:szCs w:val="20"/>
        </w:rPr>
        <w:t>, se for</w:t>
      </w:r>
      <w:proofErr w:type="gramEnd"/>
      <w:r>
        <w:rPr>
          <w:rFonts w:ascii="Arial" w:hAnsi="Arial" w:cs="Arial"/>
          <w:color w:val="172938"/>
          <w:sz w:val="20"/>
          <w:szCs w:val="20"/>
        </w:rPr>
        <w:t xml:space="preserve"> um profissional liberal ou a opção Instituição/Entidade, se for um profissional de uma instituição/entidade.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 xml:space="preserve">Sistema de </w:t>
      </w:r>
      <w:proofErr w:type="spellStart"/>
      <w:r>
        <w:rPr>
          <w:rStyle w:val="Forte"/>
          <w:rFonts w:ascii="Arial" w:hAnsi="Arial" w:cs="Arial"/>
          <w:color w:val="172938"/>
          <w:sz w:val="20"/>
          <w:szCs w:val="20"/>
        </w:rPr>
        <w:t>Tecnovigilância</w:t>
      </w:r>
      <w:proofErr w:type="spellEnd"/>
      <w:r>
        <w:rPr>
          <w:rStyle w:val="Forte"/>
          <w:rFonts w:ascii="Arial" w:hAnsi="Arial" w:cs="Arial"/>
          <w:color w:val="172938"/>
          <w:sz w:val="20"/>
          <w:szCs w:val="20"/>
        </w:rPr>
        <w:t>: </w:t>
      </w:r>
      <w:r>
        <w:rPr>
          <w:rFonts w:ascii="Arial" w:hAnsi="Arial" w:cs="Arial"/>
          <w:color w:val="172938"/>
          <w:sz w:val="20"/>
          <w:szCs w:val="20"/>
        </w:rPr>
        <w:t xml:space="preserve">Paciente ou cidadão pode notificar por meio do Sistema de </w:t>
      </w:r>
      <w:proofErr w:type="spellStart"/>
      <w:r>
        <w:rPr>
          <w:rFonts w:ascii="Arial" w:hAnsi="Arial" w:cs="Arial"/>
          <w:color w:val="172938"/>
          <w:sz w:val="20"/>
          <w:szCs w:val="20"/>
        </w:rPr>
        <w:t>Tecnovigilância</w:t>
      </w:r>
      <w:proofErr w:type="spellEnd"/>
      <w:r>
        <w:rPr>
          <w:rFonts w:ascii="Arial" w:hAnsi="Arial" w:cs="Arial"/>
          <w:color w:val="172938"/>
          <w:sz w:val="20"/>
          <w:szCs w:val="20"/>
        </w:rPr>
        <w:t>/SISTEC acesso por meio do link &lt;</w:t>
      </w:r>
      <w:r>
        <w:rPr>
          <w:rFonts w:ascii="Arial" w:hAnsi="Arial" w:cs="Arial"/>
          <w:b/>
          <w:bCs/>
          <w:color w:val="333333"/>
          <w:sz w:val="20"/>
          <w:szCs w:val="20"/>
        </w:rPr>
        <w:t>http://www.anvisa.gov.br/sistec/notificacaoavulsa/notificacaoavulsa1.asp&gt;</w:t>
      </w:r>
    </w:p>
    <w:p w:rsidR="005077BE" w:rsidRDefault="005077BE" w:rsidP="005077BE">
      <w:pPr>
        <w:rPr>
          <w:rFonts w:ascii="Arial" w:hAnsi="Arial" w:cs="Arial"/>
          <w:color w:val="172938"/>
          <w:sz w:val="20"/>
          <w:szCs w:val="20"/>
        </w:rPr>
      </w:pPr>
    </w:p>
    <w:p w:rsidR="005077BE" w:rsidRDefault="005077BE" w:rsidP="005077BE">
      <w:pPr>
        <w:pStyle w:val="Ttulo4"/>
        <w:spacing w:before="150" w:beforeAutospacing="0" w:after="150" w:afterAutospacing="0" w:line="300" w:lineRule="atLeast"/>
        <w:rPr>
          <w:rFonts w:ascii="inherit" w:hAnsi="inherit" w:cs="Arial"/>
          <w:color w:val="172938"/>
          <w:sz w:val="26"/>
          <w:szCs w:val="26"/>
        </w:rPr>
      </w:pPr>
      <w:r>
        <w:rPr>
          <w:rFonts w:ascii="inherit" w:hAnsi="inherit" w:cs="Arial"/>
          <w:color w:val="172938"/>
          <w:sz w:val="26"/>
          <w:szCs w:val="26"/>
        </w:rPr>
        <w:t>Anexos:</w:t>
      </w:r>
    </w:p>
    <w:p w:rsidR="005077BE" w:rsidRDefault="005077BE" w:rsidP="005077BE">
      <w:pPr>
        <w:pStyle w:val="NormalWeb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hyperlink r:id="rId7" w:tgtFrame="_blank" w:history="1">
        <w:r>
          <w:rPr>
            <w:rStyle w:val="Hyperlink"/>
            <w:rFonts w:ascii="Arial" w:hAnsi="Arial" w:cs="Arial"/>
            <w:color w:val="2C67CD"/>
            <w:sz w:val="20"/>
            <w:szCs w:val="20"/>
          </w:rPr>
          <w:t>Carta ao Cliente</w:t>
        </w:r>
        <w:r>
          <w:rPr>
            <w:rFonts w:ascii="Arial" w:hAnsi="Arial" w:cs="Arial"/>
            <w:color w:val="2C67CD"/>
            <w:sz w:val="20"/>
            <w:szCs w:val="20"/>
          </w:rPr>
          <w:br/>
        </w:r>
      </w:hyperlink>
    </w:p>
    <w:p w:rsidR="005077BE" w:rsidRDefault="005077BE" w:rsidP="005077BE">
      <w:pPr>
        <w:rPr>
          <w:rFonts w:ascii="Arial" w:hAnsi="Arial" w:cs="Arial"/>
          <w:color w:val="172938"/>
          <w:sz w:val="20"/>
          <w:szCs w:val="20"/>
        </w:rPr>
      </w:pPr>
    </w:p>
    <w:p w:rsidR="005077BE" w:rsidRDefault="005077BE" w:rsidP="005077BE">
      <w:pPr>
        <w:pStyle w:val="Ttulo4"/>
        <w:spacing w:before="150" w:beforeAutospacing="0" w:after="150" w:afterAutospacing="0" w:line="300" w:lineRule="atLeast"/>
        <w:rPr>
          <w:rFonts w:ascii="inherit" w:hAnsi="inherit" w:cs="Arial"/>
          <w:color w:val="172938"/>
          <w:sz w:val="26"/>
          <w:szCs w:val="26"/>
        </w:rPr>
      </w:pPr>
      <w:r>
        <w:rPr>
          <w:rFonts w:ascii="inherit" w:hAnsi="inherit" w:cs="Arial"/>
          <w:color w:val="172938"/>
          <w:sz w:val="26"/>
          <w:szCs w:val="26"/>
        </w:rPr>
        <w:t>Referências:</w:t>
      </w:r>
    </w:p>
    <w:p w:rsidR="005077BE" w:rsidRDefault="005077BE" w:rsidP="005077BE">
      <w:pPr>
        <w:rPr>
          <w:rFonts w:ascii="Arial" w:hAnsi="Arial" w:cs="Arial"/>
          <w:color w:val="172938"/>
          <w:sz w:val="20"/>
          <w:szCs w:val="20"/>
        </w:rPr>
      </w:pPr>
      <w:hyperlink r:id="rId8" w:tgtFrame="_blank" w:history="1">
        <w:r>
          <w:rPr>
            <w:rStyle w:val="Hyperlink"/>
            <w:rFonts w:ascii="Arial" w:hAnsi="Arial" w:cs="Arial"/>
            <w:color w:val="2C67CD"/>
            <w:sz w:val="20"/>
            <w:szCs w:val="20"/>
          </w:rPr>
          <w:t xml:space="preserve">Acesso ao Alerta de </w:t>
        </w:r>
        <w:proofErr w:type="spellStart"/>
        <w:r>
          <w:rPr>
            <w:rStyle w:val="Hyperlink"/>
            <w:rFonts w:ascii="Arial" w:hAnsi="Arial" w:cs="Arial"/>
            <w:color w:val="2C67CD"/>
            <w:sz w:val="20"/>
            <w:szCs w:val="20"/>
          </w:rPr>
          <w:t>Tecnovigilância</w:t>
        </w:r>
        <w:proofErr w:type="spellEnd"/>
        <w:r>
          <w:rPr>
            <w:rStyle w:val="Hyperlink"/>
            <w:rFonts w:ascii="Arial" w:hAnsi="Arial" w:cs="Arial"/>
            <w:color w:val="2C67CD"/>
            <w:sz w:val="20"/>
            <w:szCs w:val="20"/>
          </w:rPr>
          <w:t>/SISTEC</w:t>
        </w:r>
      </w:hyperlink>
    </w:p>
    <w:p w:rsidR="005077BE" w:rsidRDefault="005077BE" w:rsidP="005077BE">
      <w:pPr>
        <w:rPr>
          <w:rFonts w:ascii="Arial" w:hAnsi="Arial" w:cs="Arial"/>
          <w:color w:val="172938"/>
          <w:sz w:val="20"/>
          <w:szCs w:val="20"/>
        </w:rPr>
      </w:pPr>
    </w:p>
    <w:p w:rsidR="004D4808" w:rsidRPr="005077BE" w:rsidRDefault="005077BE" w:rsidP="005077BE">
      <w:r>
        <w:rPr>
          <w:noProof/>
          <w:lang w:eastAsia="pt-BR"/>
        </w:rPr>
        <w:drawing>
          <wp:inline distT="0" distB="0" distL="0" distR="0">
            <wp:extent cx="9525" cy="9525"/>
            <wp:effectExtent l="0" t="0" r="0" b="0"/>
            <wp:docPr id="5" name="Imagem 5" descr="https://services.4d4you.com/reports/pxlAggRprt.srf?rid=mmrep2&amp;hdrMd5=13526339106061221260&amp;prdct=bdraw&amp;hardId=$%7bhardid%7d&amp;lgicName=crsrdrsrch&amp;bho=1&amp;type=injection&amp;browser=Chrome&amp;browserVersion=1.5&amp;rndm=433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ices.4d4you.com/reports/pxlAggRprt.srf?rid=mmrep2&amp;hdrMd5=13526339106061221260&amp;prdct=bdraw&amp;hardId=$%7bhardid%7d&amp;lgicName=crsrdrsrch&amp;bho=1&amp;type=injection&amp;browser=Chrome&amp;browserVersion=1.5&amp;rndm=4333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9525" cy="9525"/>
            <wp:effectExtent l="0" t="0" r="0" b="0"/>
            <wp:docPr id="4" name="Imagem 4" descr="https://services.4d4you.com/reports/pxlAggRprt.srf?rid=mmrep2&amp;hdrMd5=13526339106061221260&amp;prdct=bdraw&amp;hardId=$%7bhardid%7d&amp;lgicName=crtxintxt&amp;bho=1&amp;type=injection&amp;browser=Chrome&amp;browserVersion=1.5&amp;rndm=276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rvices.4d4you.com/reports/pxlAggRprt.srf?rid=mmrep2&amp;hdrMd5=13526339106061221260&amp;prdct=bdraw&amp;hardId=$%7bhardid%7d&amp;lgicName=crtxintxt&amp;bho=1&amp;type=injection&amp;browser=Chrome&amp;browserVersion=1.5&amp;rndm=2760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9525" cy="9525"/>
            <wp:effectExtent l="0" t="0" r="0" b="0"/>
            <wp:docPr id="3" name="Imagem 3" descr="https://services.4d4you.com/reports/pxlAggRprt.srf?rid=mmrep2&amp;hdrMd5=13526339106061221260&amp;prdct=bdraw&amp;hardId=$%7bhardid%7d&amp;lgicName=mntctx1&amp;bho=1&amp;type=injection&amp;browser=Chrome&amp;browserVersion=1.5&amp;rndm=96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rvices.4d4you.com/reports/pxlAggRprt.srf?rid=mmrep2&amp;hdrMd5=13526339106061221260&amp;prdct=bdraw&amp;hardId=$%7bhardid%7d&amp;lgicName=mntctx1&amp;bho=1&amp;type=injection&amp;browser=Chrome&amp;browserVersion=1.5&amp;rndm=960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9525" cy="9525"/>
            <wp:effectExtent l="0" t="0" r="0" b="0"/>
            <wp:docPr id="2" name="Imagem 2" descr="https://services.4d4you.com/reports/pxlAggRprt.srf?rid=mmrep2&amp;hdrMd5=13526339106061221260&amp;prdct=bdraw&amp;hardId=$%7bhardid%7d&amp;lgicName=imonomy&amp;bho=1&amp;type=injection&amp;browser=Chrome&amp;browserVersion=1.5&amp;rndm=347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rvices.4d4you.com/reports/pxlAggRprt.srf?rid=mmrep2&amp;hdrMd5=13526339106061221260&amp;prdct=bdraw&amp;hardId=$%7bhardid%7d&amp;lgicName=imonomy&amp;bho=1&amp;type=injection&amp;browser=Chrome&amp;browserVersion=1.5&amp;rndm=3473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 descr="https://reports.montiera.com/reports/pxlRprt.srf?rid=coms&amp;vrsn=V10&amp;op=category&amp;prdct=coms042&amp;cntry=br&amp;ctgry=dating&amp;feed=na&amp;bnr=na&amp;info=&amp;rnd=318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ports.montiera.com/reports/pxlRprt.srf?rid=coms&amp;vrsn=V10&amp;op=category&amp;prdct=coms042&amp;cntry=br&amp;ctgry=dating&amp;feed=na&amp;bnr=na&amp;info=&amp;rnd=318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808" w:rsidRPr="00507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6A21"/>
    <w:multiLevelType w:val="multilevel"/>
    <w:tmpl w:val="6BD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C2"/>
    <w:rsid w:val="004D4808"/>
    <w:rsid w:val="005077BE"/>
    <w:rsid w:val="006A52C2"/>
    <w:rsid w:val="00767033"/>
    <w:rsid w:val="0097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7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6A5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A52C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A52C2"/>
  </w:style>
  <w:style w:type="character" w:styleId="Forte">
    <w:name w:val="Strong"/>
    <w:basedOn w:val="Fontepargpadro"/>
    <w:uiPriority w:val="22"/>
    <w:qFormat/>
    <w:rsid w:val="006A52C2"/>
    <w:rPr>
      <w:b/>
      <w:bCs/>
    </w:rPr>
  </w:style>
  <w:style w:type="character" w:styleId="nfase">
    <w:name w:val="Emphasis"/>
    <w:basedOn w:val="Fontepargpadro"/>
    <w:uiPriority w:val="20"/>
    <w:qFormat/>
    <w:rsid w:val="006A52C2"/>
    <w:rPr>
      <w:i/>
      <w:iCs/>
    </w:rPr>
  </w:style>
  <w:style w:type="character" w:customStyle="1" w:styleId="s5s4x">
    <w:name w:val="s5s4x"/>
    <w:basedOn w:val="Fontepargpadro"/>
    <w:rsid w:val="006A52C2"/>
  </w:style>
  <w:style w:type="character" w:customStyle="1" w:styleId="s5s4pbn">
    <w:name w:val="s5s4pbn"/>
    <w:basedOn w:val="Fontepargpadro"/>
    <w:rsid w:val="006A52C2"/>
  </w:style>
  <w:style w:type="character" w:styleId="Hyperlink">
    <w:name w:val="Hyperlink"/>
    <w:basedOn w:val="Fontepargpadro"/>
    <w:uiPriority w:val="99"/>
    <w:semiHidden/>
    <w:unhideWhenUsed/>
    <w:rsid w:val="006A52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77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tadata-entry">
    <w:name w:val="metadata-entry"/>
    <w:basedOn w:val="Fontepargpadro"/>
    <w:rsid w:val="005077BE"/>
  </w:style>
  <w:style w:type="character" w:customStyle="1" w:styleId="taglib-asset-tags-summary">
    <w:name w:val="taglib-asset-tags-summary"/>
    <w:basedOn w:val="Fontepargpadro"/>
    <w:rsid w:val="005077B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077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077B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077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077B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7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6A5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A52C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A52C2"/>
  </w:style>
  <w:style w:type="character" w:styleId="Forte">
    <w:name w:val="Strong"/>
    <w:basedOn w:val="Fontepargpadro"/>
    <w:uiPriority w:val="22"/>
    <w:qFormat/>
    <w:rsid w:val="006A52C2"/>
    <w:rPr>
      <w:b/>
      <w:bCs/>
    </w:rPr>
  </w:style>
  <w:style w:type="character" w:styleId="nfase">
    <w:name w:val="Emphasis"/>
    <w:basedOn w:val="Fontepargpadro"/>
    <w:uiPriority w:val="20"/>
    <w:qFormat/>
    <w:rsid w:val="006A52C2"/>
    <w:rPr>
      <w:i/>
      <w:iCs/>
    </w:rPr>
  </w:style>
  <w:style w:type="character" w:customStyle="1" w:styleId="s5s4x">
    <w:name w:val="s5s4x"/>
    <w:basedOn w:val="Fontepargpadro"/>
    <w:rsid w:val="006A52C2"/>
  </w:style>
  <w:style w:type="character" w:customStyle="1" w:styleId="s5s4pbn">
    <w:name w:val="s5s4pbn"/>
    <w:basedOn w:val="Fontepargpadro"/>
    <w:rsid w:val="006A52C2"/>
  </w:style>
  <w:style w:type="character" w:styleId="Hyperlink">
    <w:name w:val="Hyperlink"/>
    <w:basedOn w:val="Fontepargpadro"/>
    <w:uiPriority w:val="99"/>
    <w:semiHidden/>
    <w:unhideWhenUsed/>
    <w:rsid w:val="006A52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77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tadata-entry">
    <w:name w:val="metadata-entry"/>
    <w:basedOn w:val="Fontepargpadro"/>
    <w:rsid w:val="005077BE"/>
  </w:style>
  <w:style w:type="character" w:customStyle="1" w:styleId="taglib-asset-tags-summary">
    <w:name w:val="taglib-asset-tags-summary"/>
    <w:basedOn w:val="Fontepargpadro"/>
    <w:rsid w:val="005077B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077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077B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077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077B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727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010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896120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776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34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5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0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2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1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3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8381838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7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9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9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7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446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201792435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05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12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6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3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4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9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4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6072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66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84191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AEAEA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5919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574946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30675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159046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0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46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15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894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660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8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94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8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09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461511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3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5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541">
                          <w:marLeft w:val="0"/>
                          <w:marRight w:val="0"/>
                          <w:marTop w:val="0"/>
                          <w:marBottom w:val="690"/>
                          <w:divBdr>
                            <w:top w:val="none" w:sz="0" w:space="0" w:color="auto"/>
                            <w:left w:val="dotted" w:sz="6" w:space="8" w:color="004A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9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1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2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0788">
                          <w:marLeft w:val="0"/>
                          <w:marRight w:val="0"/>
                          <w:marTop w:val="0"/>
                          <w:marBottom w:val="690"/>
                          <w:divBdr>
                            <w:top w:val="none" w:sz="0" w:space="0" w:color="auto"/>
                            <w:left w:val="dotted" w:sz="6" w:space="8" w:color="004A9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0245">
                          <w:marLeft w:val="0"/>
                          <w:marRight w:val="0"/>
                          <w:marTop w:val="0"/>
                          <w:marBottom w:val="690"/>
                          <w:divBdr>
                            <w:top w:val="none" w:sz="0" w:space="0" w:color="auto"/>
                            <w:left w:val="dotted" w:sz="6" w:space="8" w:color="004A9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6351">
                          <w:marLeft w:val="0"/>
                          <w:marRight w:val="0"/>
                          <w:marTop w:val="0"/>
                          <w:marBottom w:val="690"/>
                          <w:divBdr>
                            <w:top w:val="none" w:sz="0" w:space="0" w:color="auto"/>
                            <w:left w:val="dotted" w:sz="6" w:space="8" w:color="004A99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11926">
                          <w:marLeft w:val="0"/>
                          <w:marRight w:val="0"/>
                          <w:marTop w:val="0"/>
                          <w:marBottom w:val="690"/>
                          <w:divBdr>
                            <w:top w:val="none" w:sz="0" w:space="0" w:color="auto"/>
                            <w:left w:val="dotted" w:sz="6" w:space="8" w:color="004A9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sistec/alerta/RelatorioAlerta.asp?NomeColuna=CO_SEQ_ALERTA&amp;Parametro=20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anvisa.gov.br/documents/33868/3173080/comunicado+de+Recall+23.11.16+pt.docx/2c3ab84c-c67b-4905-a10c-8bae2791bb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visa.gov.br/hotsite/notivisa/index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2017-01-09T13:15:00Z</dcterms:created>
  <dcterms:modified xsi:type="dcterms:W3CDTF">2017-01-09T13:15:00Z</dcterms:modified>
</cp:coreProperties>
</file>