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06"/>
        <w:gridCol w:w="136"/>
        <w:gridCol w:w="136"/>
        <w:gridCol w:w="151"/>
      </w:tblGrid>
      <w:tr w:rsidR="00BD48E9" w:rsidRPr="00BD48E9" w:rsidTr="00BD48E9">
        <w:trPr>
          <w:tblCellSpacing w:w="15" w:type="dxa"/>
        </w:trPr>
        <w:tc>
          <w:tcPr>
            <w:tcW w:w="5000" w:type="pct"/>
            <w:tcMar>
              <w:top w:w="15" w:type="dxa"/>
              <w:left w:w="15" w:type="dxa"/>
              <w:bottom w:w="134" w:type="dxa"/>
              <w:right w:w="15" w:type="dxa"/>
            </w:tcMar>
            <w:vAlign w:val="center"/>
            <w:hideMark/>
          </w:tcPr>
          <w:p w:rsidR="00BD48E9" w:rsidRPr="00BD48E9" w:rsidRDefault="00BD48E9" w:rsidP="00BD48E9">
            <w:pPr>
              <w:spacing w:before="251" w:after="0" w:line="264" w:lineRule="auto"/>
              <w:rPr>
                <w:rFonts w:ascii="Arial Narrow" w:eastAsia="Times New Roman" w:hAnsi="Arial Narrow" w:cs="Arial"/>
                <w:color w:val="1E6298"/>
                <w:sz w:val="30"/>
                <w:szCs w:val="30"/>
                <w:lang w:eastAsia="pt-BR"/>
              </w:rPr>
            </w:pPr>
            <w:r w:rsidRPr="00BD48E9">
              <w:rPr>
                <w:rFonts w:ascii="Arial Narrow" w:eastAsia="Times New Roman" w:hAnsi="Arial Narrow" w:cs="Arial"/>
                <w:color w:val="1E6298"/>
                <w:sz w:val="30"/>
                <w:szCs w:val="30"/>
                <w:lang w:eastAsia="pt-BR"/>
              </w:rPr>
              <w:t xml:space="preserve">PORTARIA Nº 2.198 DE 17 DE SETEMBRO DE 2009 </w:t>
            </w:r>
          </w:p>
        </w:tc>
        <w:tc>
          <w:tcPr>
            <w:tcW w:w="5000" w:type="pct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D48E9" w:rsidRPr="00BD48E9" w:rsidRDefault="00BD48E9" w:rsidP="00BD48E9">
            <w:pPr>
              <w:spacing w:after="0" w:line="324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000" w:type="pct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D48E9" w:rsidRPr="00BD48E9" w:rsidRDefault="00BD48E9" w:rsidP="00BD48E9">
            <w:pPr>
              <w:spacing w:after="0" w:line="324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  <w:tc>
          <w:tcPr>
            <w:tcW w:w="5000" w:type="pct"/>
            <w:tcMar>
              <w:top w:w="0" w:type="dxa"/>
              <w:left w:w="50" w:type="dxa"/>
              <w:bottom w:w="0" w:type="dxa"/>
              <w:right w:w="50" w:type="dxa"/>
            </w:tcMar>
            <w:vAlign w:val="center"/>
            <w:hideMark/>
          </w:tcPr>
          <w:p w:rsidR="00BD48E9" w:rsidRPr="00BD48E9" w:rsidRDefault="00BD48E9" w:rsidP="00BD48E9">
            <w:pPr>
              <w:spacing w:after="0" w:line="324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</w:p>
        </w:tc>
      </w:tr>
    </w:tbl>
    <w:p w:rsidR="00BD48E9" w:rsidRPr="00BD48E9" w:rsidRDefault="00BD48E9" w:rsidP="00BD48E9">
      <w:pPr>
        <w:spacing w:line="324" w:lineRule="auto"/>
        <w:rPr>
          <w:rFonts w:ascii="Arial" w:eastAsia="Times New Roman" w:hAnsi="Arial" w:cs="Arial"/>
          <w:vanish/>
          <w:color w:val="333333"/>
          <w:sz w:val="20"/>
          <w:szCs w:val="20"/>
          <w:lang w:eastAsia="pt-BR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BD48E9" w:rsidRPr="00BD48E9" w:rsidTr="00BD4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BD48E9" w:rsidRPr="00BD48E9" w:rsidRDefault="00BD48E9" w:rsidP="00BD48E9">
            <w:pPr>
              <w:spacing w:after="0" w:line="324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</w:pPr>
            <w:r w:rsidRPr="00BD48E9">
              <w:rPr>
                <w:rFonts w:ascii="Arial" w:eastAsia="Times New Roman" w:hAnsi="Arial" w:cs="Arial"/>
                <w:color w:val="333333"/>
                <w:sz w:val="20"/>
                <w:szCs w:val="20"/>
                <w:lang w:eastAsia="pt-BR"/>
              </w:rPr>
              <w:t xml:space="preserve">Legislações - GM </w:t>
            </w:r>
          </w:p>
        </w:tc>
      </w:tr>
      <w:tr w:rsidR="00BD48E9" w:rsidRPr="00BD48E9" w:rsidTr="00BD48E9">
        <w:trPr>
          <w:tblCellSpacing w:w="15" w:type="dxa"/>
        </w:trPr>
        <w:tc>
          <w:tcPr>
            <w:tcW w:w="0" w:type="auto"/>
            <w:hideMark/>
          </w:tcPr>
          <w:p w:rsidR="00BD48E9" w:rsidRPr="00BD48E9" w:rsidRDefault="00BD48E9" w:rsidP="00BD48E9">
            <w:pPr>
              <w:spacing w:after="0" w:line="324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</w:pPr>
            <w:proofErr w:type="spellStart"/>
            <w:r w:rsidRPr="00BD48E9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Sex</w:t>
            </w:r>
            <w:proofErr w:type="spellEnd"/>
            <w:r w:rsidRPr="00BD48E9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 xml:space="preserve">, 18 de Setembro de 2009 </w:t>
            </w:r>
            <w:proofErr w:type="gramStart"/>
            <w:r w:rsidRPr="00BD48E9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>00:00</w:t>
            </w:r>
            <w:proofErr w:type="gramEnd"/>
            <w:r w:rsidRPr="00BD48E9">
              <w:rPr>
                <w:rFonts w:ascii="Arial" w:eastAsia="Times New Roman" w:hAnsi="Arial" w:cs="Arial"/>
                <w:color w:val="333333"/>
                <w:sz w:val="19"/>
                <w:szCs w:val="19"/>
                <w:lang w:eastAsia="pt-BR"/>
              </w:rPr>
              <w:t xml:space="preserve"> </w:t>
            </w:r>
          </w:p>
        </w:tc>
      </w:tr>
      <w:tr w:rsidR="00BD48E9" w:rsidRPr="00BD48E9" w:rsidTr="00BD48E9">
        <w:trPr>
          <w:tblCellSpacing w:w="15" w:type="dxa"/>
        </w:trPr>
        <w:tc>
          <w:tcPr>
            <w:tcW w:w="0" w:type="auto"/>
            <w:hideMark/>
          </w:tcPr>
          <w:p w:rsidR="00BD48E9" w:rsidRPr="00BD48E9" w:rsidRDefault="00BD48E9" w:rsidP="00BD48E9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PORTARIA Nº 2.198 DE 17 DE SETEMBRO DE 2009</w:t>
            </w:r>
          </w:p>
          <w:p w:rsidR="00BD48E9" w:rsidRPr="00BD48E9" w:rsidRDefault="00BD48E9" w:rsidP="00BD48E9">
            <w:pPr>
              <w:spacing w:before="167" w:after="251" w:line="324" w:lineRule="auto"/>
              <w:ind w:left="180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Dispõe sobre a transferência fundo a fundo de recursos federais a Estados, Distrito Federal e Municípios, destinados à aquisição de equipamentos e material permanente para o Programa de Atenção Básica de Saúde e da Assistência Ambulatorial e Hospitalar Especializada.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O MINISTRO DE ESTADO DA SAÚDE, no uso das atribuições que lhe confere o inciso II do parágrafo único do art. 87, da Constituição, </w:t>
            </w:r>
            <w:proofErr w:type="gramStart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e</w:t>
            </w:r>
            <w:proofErr w:type="gramEnd"/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Considerando a </w:t>
            </w:r>
            <w:hyperlink r:id="rId4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Lei Nº 8.142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, de 28 de dezembro de 1990, que dispõe sobre as transferências intergovernamentais de recursos financeiros na área da saúde;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Considerando o </w:t>
            </w:r>
            <w:hyperlink r:id="rId5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Decreto Nº 1.651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, de 28 de setembro de 1995, que regulamenta o Sistema Nacional de Auditoria no âmbito do Sistema Único de Saúde;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Considerando o </w:t>
            </w:r>
            <w:hyperlink r:id="rId6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Decreto Nº 1.232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, de 30 de agosto de 1994, que dispõe sobre os instrumentos para acompanhar a conformidade da aplicação dos recursos transferidos à programação dos serviços e ações constantes dos planos de saúde; </w:t>
            </w:r>
            <w:proofErr w:type="gramStart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e</w:t>
            </w:r>
            <w:proofErr w:type="gramEnd"/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Considerando a </w:t>
            </w:r>
            <w:hyperlink r:id="rId7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Portaria Nº 204/GM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, de 29 de janeiro de 2007 e a </w:t>
            </w:r>
            <w:hyperlink r:id="rId8" w:tgtFrame="_blank" w:tooltip="Portaria Nº 837/GM, de 23 de abril de 2009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Portaria Nº 837/GM, de 23 de abril de 2009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, que regulamenta o financiamento e a transferência dos recursos federais para as ações e serviços de saúde, na forma de blocos de financiamento, com o respectivo monitoramento e controle, resolve: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Art. 1º A liberação dos recursos financeiros destinados à aquisição de equipamentos e material permanente para compor o Programa da Atenção Básica de Saúde e da Assistência Ambulatorial e Hospitalar Especializada dar-se-á de forma automática, do Fundo Nacional de Saúde para os Fundos de Saúde Estaduais, Municipais e do Distrito Federal.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§ 1º O financiamento dos bens de que trata esta Portaria </w:t>
            </w:r>
            <w:proofErr w:type="gramStart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refere-se</w:t>
            </w:r>
            <w:proofErr w:type="gramEnd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 a equipamentos médico-hospitalares, materiais permanentes e unidades móveis de saúde relacionados no sítio eletrônico www.saude.gov.br; no menu "profissional e gestor", no campo "aquisição de equipamentos".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§ 2º Os pedidos de aquisição dos equipamentos e materiais permanentes deverão ser encaminhados sob a forma de "propostas de projetos" os quais com o objetivo de permitir a avaliação da adequação desses equipamentos e materiais às ações e serviços oferecidos, bem como às tecnologias solicitadas deverão conter: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I - tipo;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II - descrição técnica;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III - características técnicas/acessórios; </w:t>
            </w:r>
            <w:proofErr w:type="gramStart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e</w:t>
            </w:r>
            <w:proofErr w:type="gramEnd"/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lastRenderedPageBreak/>
              <w:t>IV - valor estimado do equipamento.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Art. 2º As propostas de projetos referentes ao financiamento de equipamentos de que trata esta Portaria deverão: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I - ser cadastradas pelos respectivos gestores do SUS no Sistema de Propostas de Projetos, disponível no sítio eletrônico do Fundo Nacional de Saúde, www.fns.saude.gov.br, cabendo à </w:t>
            </w:r>
            <w:proofErr w:type="spellStart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Secretariade</w:t>
            </w:r>
            <w:proofErr w:type="spellEnd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 Atenção à Saúde a avaliação quanto ao mérito e à Secretaria- Executiva a avaliação econômico-financeira;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II - estar em consonância com o estabelecido no Plano Diretor de Investimento - PDI das unidades federativas, além de integrar o Plano de Saúde e ser </w:t>
            </w:r>
            <w:proofErr w:type="gramStart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aprovadas</w:t>
            </w:r>
            <w:proofErr w:type="gramEnd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 pelo Colegiado de Gestão Regional - CGR, se houver, e pela Comissão Intergestores Bipartite - CIB;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III - guardar estrita consonância com a natureza do Estabelecimento Assistencial de Saúde - EAS constante do Cadastro Nacional de Estabelecimentos de Saúde - CNES;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IV - os equipamentos de que trata esta Portaria deverão, obrigatoriamente, ser destinados às equipar as Unidades Assistenciais próprias estaduais, municipais e do Distrito Federal; </w:t>
            </w:r>
            <w:proofErr w:type="gramStart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e</w:t>
            </w:r>
            <w:proofErr w:type="gramEnd"/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V - guardar estrita consonância com os normativos vigentes sobre procedimentos e serviços especializados.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Art. 3º Cada projeto aprovado terá a sua formalização efetivada pelo Ministério da Saúde, mediante edição de portaria específica, na qual estarão definidos a vigência e o valor a ser transferido.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Art. 4º O Fundo Nacional de Saúde - FNS repassará os recursos financeiros em parcela única, na modalidade fundo a fundo, da seguinte forma: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I - para os Fundos de Saúde Estaduais, Municipais e do Distrito Federal, mediante aprovação do projeto encaminhado pelo gestor do SUS ao Ministério da Saúde: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a) os recursos financeiros transferidos deverão ser movimentados em conta bancária específica aberta pelo Fundo Nacional de Saúde em nome dos respectivos Fundos de Saúde Estaduais, Municipais e do Distrito Federal;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b) enquanto não estiverem investidos em sua finalidade, deverão, obrigatoriamente, ser aplicados em caderneta de poupança, devendo seus rendimentos ser utilizados no próprio projeto;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II - a execução do objeto deverá ocorrer no prazo de até 12 (doze) meses, contados a partir da data do recebimento dos recursos;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III - findo o prazo e não havendo execução ou vindo a </w:t>
            </w:r>
            <w:proofErr w:type="gramStart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ser</w:t>
            </w:r>
            <w:proofErr w:type="gramEnd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 executado parcialmente, os recursos deverão ser restituídos ao Fundo Nacional de Saúde - FNS, acrescidos dos respectivos rendimentos; e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IV - concluída a execução e efetivados os pagamentos, o saldo remanescente, acrescido dos rendimentos, deverão ser restituídos ao Fundo Nacional de Saúde no prazo de </w:t>
            </w: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lastRenderedPageBreak/>
              <w:t>até 30 (trinta) dias.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Art. 5º A execução física do projeto aprovado deverá atender às exigências legais concernentes à licitação a que estão sujeitas todas as despesas da Administração Pública.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Parágrafo único. A documentação administrativa e fiscal deverá ser mantida em arquivo pelo período mínimo legal exigido.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Art. 6º Os recursos transferidos serão movimentados sob a fiscalização do respectivo Conselho de Saúde, sem prejuízo da fiscalização exercida pelos órgãos do sistema de controle interno do Poder Executivo e pelo Tribunal de Contas da União, conforme o disposto no art. 3º do </w:t>
            </w:r>
            <w:hyperlink r:id="rId9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Decreto Nº 1.232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, de 1994.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Art. 7º A comprovação da aplicação dos recursos transferidos será analisada com base no relatório de gestão previsto na </w:t>
            </w:r>
            <w:hyperlink r:id="rId10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Lei Nº 8.142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, de 1990, no </w:t>
            </w:r>
            <w:hyperlink r:id="rId11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Decreto Nº 1.651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, de 1995, e na </w:t>
            </w:r>
            <w:hyperlink r:id="rId12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Portaria Nº 3.176/GM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, de 24 de dezembro de 2008.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Art. 8º O Sistema Nacional de Auditoria, com fundamento nos relatórios de gestão, acompanhará a conformidade da aplicação dos recursos transferidos, nos termos do disposto no art. 5º do </w:t>
            </w:r>
            <w:hyperlink r:id="rId13" w:history="1">
              <w:r w:rsidRPr="00BD48E9">
                <w:rPr>
                  <w:rFonts w:ascii="Verdana" w:eastAsia="Times New Roman" w:hAnsi="Verdana" w:cs="Times New Roman"/>
                  <w:color w:val="1E6298"/>
                  <w:sz w:val="18"/>
                  <w:lang w:eastAsia="pt-BR"/>
                </w:rPr>
                <w:t>Decreto Nº 1.232</w:t>
              </w:r>
            </w:hyperlink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, de 1994.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Art. 9º Os equipamentos adquiridos deverão ser inseridos no Cadastro Nacional de Estabelecimentos de Saúde - CNES.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Art. 10. Os recursos orçamentários objeto desta Portaria correrão por conta do orçamento do Ministério da Saúde, devendo onerar os seguintes Programas de Trabalho: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 xml:space="preserve">I - 10.301.1214.8581 - Estruturação da Rede de Serviços de Atenção Básica de Saúde; </w:t>
            </w:r>
            <w:proofErr w:type="gramStart"/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e</w:t>
            </w:r>
            <w:proofErr w:type="gramEnd"/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II - 10.302.1220.8535 - Estruturação de Unidades de Atenção de Média e Alta Complexidade Ambulatorial e Hospitalar.</w:t>
            </w:r>
          </w:p>
          <w:p w:rsidR="00BD48E9" w:rsidRPr="00BD48E9" w:rsidRDefault="00BD48E9" w:rsidP="00BD48E9">
            <w:pPr>
              <w:spacing w:before="167" w:after="251" w:line="324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Art. 11. Esta Portaria entra em vigor na data de sua publicação.</w:t>
            </w:r>
          </w:p>
          <w:p w:rsidR="00BD48E9" w:rsidRPr="00BD48E9" w:rsidRDefault="00BD48E9" w:rsidP="00BD48E9">
            <w:pPr>
              <w:spacing w:before="167" w:after="251" w:line="324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D48E9">
              <w:rPr>
                <w:rFonts w:ascii="Verdana" w:eastAsia="Times New Roman" w:hAnsi="Verdana" w:cs="Times New Roman"/>
                <w:color w:val="333333"/>
                <w:sz w:val="18"/>
                <w:szCs w:val="18"/>
                <w:lang w:eastAsia="pt-BR"/>
              </w:rPr>
              <w:t>JOSÉ GOMES TEMPORÃO</w:t>
            </w:r>
          </w:p>
        </w:tc>
      </w:tr>
    </w:tbl>
    <w:p w:rsidR="00257E07" w:rsidRDefault="00257E07"/>
    <w:sectPr w:rsidR="00257E07" w:rsidSect="00BD48E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D48E9"/>
    <w:rsid w:val="00257E07"/>
    <w:rsid w:val="00BD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D48E9"/>
    <w:rPr>
      <w:strike w:val="0"/>
      <w:dstrike w:val="0"/>
      <w:color w:val="1E6298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1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4256">
                              <w:marLeft w:val="251"/>
                              <w:marRight w:val="2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95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39186">
                                              <w:marLeft w:val="0"/>
                                              <w:marRight w:val="0"/>
                                              <w:marTop w:val="335"/>
                                              <w:marBottom w:val="3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57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05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03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961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asilsus.com.br/legislacoes/gm/16710-837?q=" TargetMode="External"/><Relationship Id="rId13" Type="http://schemas.openxmlformats.org/officeDocument/2006/relationships/hyperlink" Target="http://www.brasilsus.com.br/index.php?option=com_content&amp;view=article&amp;id=11845:1232&amp;catid=12:decretos&amp;Itemid=54&amp;q=1.2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rasilsus.com.br/index.php?option=com_content&amp;view=article&amp;id=336:204&amp;catid=44:gm&amp;Itemid=60&amp;q=204" TargetMode="External"/><Relationship Id="rId12" Type="http://schemas.openxmlformats.org/officeDocument/2006/relationships/hyperlink" Target="http://www.brasilsus.com.br/index.php?option=com_content&amp;view=article&amp;id=15801:3176&amp;catid=44:gm&amp;Itemid=60&amp;q=3.1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silsus.com.br/index.php?option=com_content&amp;view=article&amp;id=11845:1232&amp;catid=12:decretos&amp;Itemid=54&amp;q=1.232" TargetMode="External"/><Relationship Id="rId11" Type="http://schemas.openxmlformats.org/officeDocument/2006/relationships/hyperlink" Target="http://www.brasilsus.com.br/index.php?option=com_content&amp;view=article&amp;id=13684:1651&amp;catid=12:decretos&amp;Itemid=54&amp;q=1.651" TargetMode="External"/><Relationship Id="rId5" Type="http://schemas.openxmlformats.org/officeDocument/2006/relationships/hyperlink" Target="http://www.brasilsus.com.br/index.php?option=com_content&amp;view=article&amp;id=13684:1651&amp;catid=12:decretos&amp;Itemid=54&amp;q=1.65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rasilsus.com.br/index.php?option=com_content&amp;view=article&amp;id=11475:8142&amp;catid=14:lei&amp;Itemid=62&amp;q=8.142" TargetMode="External"/><Relationship Id="rId4" Type="http://schemas.openxmlformats.org/officeDocument/2006/relationships/hyperlink" Target="http://www.brasilsus.com.br/index.php?option=com_content&amp;view=article&amp;id=11475:8142&amp;catid=14:lei&amp;Itemid=62&amp;q=8.142" TargetMode="External"/><Relationship Id="rId9" Type="http://schemas.openxmlformats.org/officeDocument/2006/relationships/hyperlink" Target="http://www.brasilsus.com.br/index.php?option=com_content&amp;view=article&amp;id=11845:1232&amp;catid=12:decretos&amp;Itemid=54&amp;q=1.2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6646</Characters>
  <Application>Microsoft Office Word</Application>
  <DocSecurity>0</DocSecurity>
  <Lines>55</Lines>
  <Paragraphs>15</Paragraphs>
  <ScaleCrop>false</ScaleCrop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 Mental</dc:creator>
  <cp:lastModifiedBy>Saude Mental</cp:lastModifiedBy>
  <cp:revision>1</cp:revision>
  <dcterms:created xsi:type="dcterms:W3CDTF">2012-06-13T15:23:00Z</dcterms:created>
  <dcterms:modified xsi:type="dcterms:W3CDTF">2012-06-13T15:23:00Z</dcterms:modified>
</cp:coreProperties>
</file>